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4E" w:rsidRPr="00897A31" w:rsidRDefault="000D5CFB" w:rsidP="006417E2">
      <w:pPr>
        <w:jc w:val="center"/>
        <w:rPr>
          <w:b/>
        </w:rPr>
      </w:pPr>
      <w:r>
        <w:rPr>
          <w:b/>
        </w:rPr>
        <w:t>Recommendations</w:t>
      </w:r>
      <w:r w:rsidR="00AD78D9">
        <w:rPr>
          <w:b/>
        </w:rPr>
        <w:t xml:space="preserve"> of independent anticorruption organs from annual reports for</w:t>
      </w:r>
      <w:r w:rsidR="00442BAC" w:rsidRPr="00897A31">
        <w:rPr>
          <w:rStyle w:val="apple-style-span"/>
          <w:b/>
          <w:color w:val="000000"/>
        </w:rPr>
        <w:t xml:space="preserve"> 2010</w:t>
      </w:r>
      <w:r w:rsidR="00227E91">
        <w:rPr>
          <w:rStyle w:val="apple-style-span"/>
          <w:b/>
          <w:color w:val="000000"/>
        </w:rPr>
        <w:t xml:space="preserve"> and C</w:t>
      </w:r>
      <w:r w:rsidR="00AD78D9">
        <w:rPr>
          <w:rStyle w:val="apple-style-span"/>
          <w:b/>
          <w:color w:val="000000"/>
        </w:rPr>
        <w:t xml:space="preserve">onclusions of authorized Committees of National </w:t>
      </w:r>
      <w:r>
        <w:rPr>
          <w:rStyle w:val="apple-style-span"/>
          <w:b/>
          <w:color w:val="000000"/>
        </w:rPr>
        <w:t>Assembly</w:t>
      </w:r>
    </w:p>
    <w:p w:rsidR="00186C4E" w:rsidRDefault="00186C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6405"/>
      </w:tblGrid>
      <w:tr w:rsidR="00186C4E" w:rsidRPr="003D0483" w:rsidTr="0073722D">
        <w:tc>
          <w:tcPr>
            <w:tcW w:w="6771" w:type="dxa"/>
          </w:tcPr>
          <w:p w:rsidR="00186C4E" w:rsidRPr="00043B38" w:rsidRDefault="00AD78D9" w:rsidP="00AD78D9">
            <w:pPr>
              <w:rPr>
                <w:b/>
              </w:rPr>
            </w:pPr>
            <w:r>
              <w:rPr>
                <w:b/>
              </w:rPr>
              <w:t>Ombudsman</w:t>
            </w:r>
            <w:r w:rsidR="00186C4E" w:rsidRPr="00043B38">
              <w:rPr>
                <w:b/>
                <w:lang w:val="sr-Cyrl-CS"/>
              </w:rPr>
              <w:t xml:space="preserve"> – </w:t>
            </w:r>
            <w:r>
              <w:rPr>
                <w:b/>
              </w:rPr>
              <w:t>recommendations from annual report for</w:t>
            </w:r>
            <w:r w:rsidR="00186C4E" w:rsidRPr="00043B38">
              <w:rPr>
                <w:b/>
                <w:lang w:val="sr-Cyrl-CS"/>
              </w:rPr>
              <w:t xml:space="preserve"> 2010</w:t>
            </w:r>
            <w:r>
              <w:rPr>
                <w:b/>
              </w:rPr>
              <w:t xml:space="preserve"> that refer to National Assembly</w:t>
            </w:r>
            <w:r w:rsidR="00186C4E" w:rsidRPr="00043B38">
              <w:rPr>
                <w:b/>
                <w:lang w:val="sr-Cyrl-CS"/>
              </w:rPr>
              <w:t xml:space="preserve"> </w:t>
            </w:r>
          </w:p>
        </w:tc>
        <w:tc>
          <w:tcPr>
            <w:tcW w:w="6405" w:type="dxa"/>
          </w:tcPr>
          <w:p w:rsidR="00186C4E" w:rsidRPr="00043B38" w:rsidRDefault="00AD78D9" w:rsidP="00AD78D9">
            <w:pPr>
              <w:rPr>
                <w:b/>
              </w:rPr>
            </w:pPr>
            <w:r>
              <w:rPr>
                <w:b/>
              </w:rPr>
              <w:t>Justice and Administration Committee</w:t>
            </w:r>
          </w:p>
        </w:tc>
      </w:tr>
      <w:tr w:rsidR="00186C4E" w:rsidRPr="003D0483" w:rsidTr="0073722D">
        <w:tc>
          <w:tcPr>
            <w:tcW w:w="6771" w:type="dxa"/>
          </w:tcPr>
          <w:p w:rsidR="00186C4E" w:rsidRPr="003D0483" w:rsidRDefault="000D5CFB" w:rsidP="00186C4E">
            <w:pPr>
              <w:numPr>
                <w:ilvl w:val="0"/>
                <w:numId w:val="4"/>
              </w:numPr>
              <w:spacing w:after="120"/>
              <w:jc w:val="both"/>
              <w:rPr>
                <w:lang w:val="sr-Cyrl-CS"/>
              </w:rPr>
            </w:pPr>
            <w:r>
              <w:t>Insist on inserting provisions on cooperation with Ombudsman and other independent control organs into Rules of Procedure</w:t>
            </w:r>
            <w:r w:rsidR="00186C4E" w:rsidRPr="003D0483">
              <w:rPr>
                <w:lang w:val="sr-Cyrl-CS"/>
              </w:rPr>
              <w:t>.</w:t>
            </w:r>
          </w:p>
          <w:p w:rsidR="00186C4E" w:rsidRPr="003D0483" w:rsidRDefault="000D5CFB" w:rsidP="00186C4E">
            <w:pPr>
              <w:numPr>
                <w:ilvl w:val="0"/>
                <w:numId w:val="4"/>
              </w:numPr>
              <w:spacing w:after="120"/>
              <w:jc w:val="both"/>
              <w:rPr>
                <w:lang w:val="sr-Cyrl-CS"/>
              </w:rPr>
            </w:pPr>
            <w:r>
              <w:t xml:space="preserve">Insist on </w:t>
            </w:r>
            <w:r w:rsidR="002E5E29">
              <w:t xml:space="preserve">asking from Supreme Judges’ Council </w:t>
            </w:r>
            <w:r>
              <w:t xml:space="preserve">executing </w:t>
            </w:r>
            <w:r w:rsidR="002E5E29">
              <w:t xml:space="preserve">of </w:t>
            </w:r>
            <w:r>
              <w:t xml:space="preserve">legally prescribed obligation </w:t>
            </w:r>
            <w:r w:rsidR="002E5E29">
              <w:t>of cooperation with Ombudsman in proceedings from its jurisdiction</w:t>
            </w:r>
            <w:r w:rsidR="00186C4E" w:rsidRPr="003D0483">
              <w:rPr>
                <w:lang w:val="sr-Cyrl-CS"/>
              </w:rPr>
              <w:t>.</w:t>
            </w:r>
          </w:p>
          <w:p w:rsidR="00186C4E" w:rsidRPr="003D0483" w:rsidRDefault="002E5E29" w:rsidP="00186C4E">
            <w:pPr>
              <w:numPr>
                <w:ilvl w:val="0"/>
                <w:numId w:val="4"/>
              </w:numPr>
              <w:spacing w:after="120"/>
              <w:jc w:val="both"/>
              <w:rPr>
                <w:lang w:val="sr-Cyrl-CS"/>
              </w:rPr>
            </w:pPr>
            <w:r>
              <w:t xml:space="preserve">Insist on considering of special report of Ombudsman on preventive control visit to Security Information Agency </w:t>
            </w:r>
            <w:r w:rsidR="001012CE">
              <w:t>by the authorized Committee</w:t>
            </w:r>
            <w:r w:rsidR="00186C4E" w:rsidRPr="003D0483">
              <w:rPr>
                <w:lang w:val="sr-Cyrl-CS"/>
              </w:rPr>
              <w:t>.</w:t>
            </w:r>
          </w:p>
          <w:p w:rsidR="00186C4E" w:rsidRPr="003D0483" w:rsidRDefault="001012CE" w:rsidP="00186C4E">
            <w:pPr>
              <w:numPr>
                <w:ilvl w:val="0"/>
                <w:numId w:val="4"/>
              </w:numPr>
              <w:spacing w:after="120"/>
              <w:jc w:val="both"/>
              <w:rPr>
                <w:lang w:val="sr-Cyrl-CS"/>
              </w:rPr>
            </w:pPr>
            <w:r>
              <w:t>Insist on considering and supporting the implementation of Code of Good Management delivered by the Ombudsman</w:t>
            </w:r>
            <w:r w:rsidR="00186C4E" w:rsidRPr="003D0483">
              <w:rPr>
                <w:lang w:val="sr-Cyrl-CS"/>
              </w:rPr>
              <w:t xml:space="preserve">. </w:t>
            </w:r>
          </w:p>
          <w:p w:rsidR="00186C4E" w:rsidRPr="003D0483" w:rsidRDefault="001012CE" w:rsidP="00186C4E">
            <w:pPr>
              <w:numPr>
                <w:ilvl w:val="0"/>
                <w:numId w:val="4"/>
              </w:numPr>
              <w:spacing w:after="120"/>
              <w:jc w:val="both"/>
              <w:rPr>
                <w:lang w:val="sr-Cyrl-CS"/>
              </w:rPr>
            </w:pPr>
            <w:r>
              <w:t>In</w:t>
            </w:r>
            <w:r w:rsidR="00227E91">
              <w:t>sist on considering the report i</w:t>
            </w:r>
            <w:r>
              <w:t>n the case of</w:t>
            </w:r>
            <w:r w:rsidR="00186C4E" w:rsidRPr="003D0483">
              <w:rPr>
                <w:lang w:val="sr-Cyrl-CS"/>
              </w:rPr>
              <w:t xml:space="preserve"> „</w:t>
            </w:r>
            <w:r>
              <w:t>missing babies</w:t>
            </w:r>
            <w:r w:rsidRPr="003D0483">
              <w:rPr>
                <w:lang w:val="sr-Cyrl-CS"/>
              </w:rPr>
              <w:t>“delivered</w:t>
            </w:r>
            <w:r>
              <w:t xml:space="preserve"> by the Ombudsman</w:t>
            </w:r>
            <w:r w:rsidR="00186C4E" w:rsidRPr="003D0483">
              <w:rPr>
                <w:lang w:val="sr-Cyrl-CS"/>
              </w:rPr>
              <w:t>.</w:t>
            </w:r>
          </w:p>
          <w:p w:rsidR="00186C4E" w:rsidRPr="003D0483" w:rsidRDefault="00DD4F16" w:rsidP="00186C4E">
            <w:pPr>
              <w:numPr>
                <w:ilvl w:val="0"/>
                <w:numId w:val="4"/>
              </w:numPr>
              <w:spacing w:after="120"/>
              <w:jc w:val="both"/>
              <w:rPr>
                <w:lang w:val="sr-Cyrl-CS"/>
              </w:rPr>
            </w:pPr>
            <w:r>
              <w:t xml:space="preserve">Insist on emphasizing significance of full and efficient protection of activists and civil society organizations that pledge for promotion of respecting human rights and initiating of </w:t>
            </w:r>
            <w:r w:rsidR="00227E91">
              <w:t>simulative</w:t>
            </w:r>
            <w:r w:rsidR="00976C4B">
              <w:t xml:space="preserve"> atmosphere for their work</w:t>
            </w:r>
            <w:r w:rsidR="00186C4E" w:rsidRPr="003D0483">
              <w:rPr>
                <w:lang w:val="sr-Cyrl-CS"/>
              </w:rPr>
              <w:t>.</w:t>
            </w:r>
          </w:p>
          <w:p w:rsidR="00186C4E" w:rsidRPr="003D0483" w:rsidRDefault="00976C4B" w:rsidP="00186C4E">
            <w:pPr>
              <w:numPr>
                <w:ilvl w:val="0"/>
                <w:numId w:val="4"/>
              </w:numPr>
              <w:spacing w:after="120"/>
              <w:jc w:val="both"/>
              <w:rPr>
                <w:lang w:val="sr-Cyrl-CS"/>
              </w:rPr>
            </w:pPr>
            <w:r>
              <w:t>Insist on ratifying the Optional Protocol to International Pact</w:t>
            </w:r>
            <w:r w:rsidR="00227E91">
              <w:t xml:space="preserve"> on E</w:t>
            </w:r>
            <w:r>
              <w:t>conomic</w:t>
            </w:r>
            <w:r w:rsidR="00186C4E" w:rsidRPr="003D0483">
              <w:rPr>
                <w:lang w:val="sr-Cyrl-CS"/>
              </w:rPr>
              <w:t xml:space="preserve">, </w:t>
            </w:r>
            <w:r w:rsidR="00227E91">
              <w:t>Social and Cultural R</w:t>
            </w:r>
            <w:r>
              <w:t>ight</w:t>
            </w:r>
            <w:r w:rsidR="00227E91">
              <w:t>s</w:t>
            </w:r>
            <w:r w:rsidR="00186C4E" w:rsidRPr="003D0483">
              <w:rPr>
                <w:lang w:val="sr-Cyrl-CS"/>
              </w:rPr>
              <w:t>.</w:t>
            </w:r>
          </w:p>
          <w:p w:rsidR="00186C4E" w:rsidRDefault="00976C4B" w:rsidP="00186C4E">
            <w:pPr>
              <w:numPr>
                <w:ilvl w:val="0"/>
                <w:numId w:val="4"/>
              </w:numPr>
              <w:spacing w:after="120"/>
              <w:jc w:val="both"/>
              <w:rPr>
                <w:lang w:val="sr-Cyrl-CS"/>
              </w:rPr>
            </w:pPr>
            <w:r>
              <w:lastRenderedPageBreak/>
              <w:t xml:space="preserve">Insist on assessing through public hearing or </w:t>
            </w:r>
            <w:r w:rsidR="00227E91">
              <w:t>some other appropriate method</w:t>
            </w:r>
            <w:r>
              <w:t xml:space="preserve">, whether possibility for employees in public administration organ </w:t>
            </w:r>
            <w:r w:rsidR="00227E91" w:rsidRPr="003D0483">
              <w:rPr>
                <w:lang w:val="sr-Cyrl-CS"/>
              </w:rPr>
              <w:t>(</w:t>
            </w:r>
            <w:r w:rsidR="00227E91">
              <w:t>state</w:t>
            </w:r>
            <w:r w:rsidR="00227E91" w:rsidRPr="003D0483">
              <w:rPr>
                <w:lang w:val="sr-Cyrl-CS"/>
              </w:rPr>
              <w:t xml:space="preserve">, </w:t>
            </w:r>
            <w:r w:rsidR="00227E91">
              <w:t>provincial</w:t>
            </w:r>
            <w:r w:rsidR="00227E91" w:rsidRPr="003D0483">
              <w:rPr>
                <w:lang w:val="sr-Cyrl-CS"/>
              </w:rPr>
              <w:t xml:space="preserve">, </w:t>
            </w:r>
            <w:r w:rsidR="00227E91">
              <w:t>local government</w:t>
            </w:r>
            <w:r w:rsidR="00227E91" w:rsidRPr="003D0483">
              <w:rPr>
                <w:lang w:val="sr-Cyrl-CS"/>
              </w:rPr>
              <w:t xml:space="preserve">, </w:t>
            </w:r>
            <w:r w:rsidR="00227E91">
              <w:t>public service</w:t>
            </w:r>
            <w:r w:rsidR="00227E91" w:rsidRPr="003D0483">
              <w:rPr>
                <w:lang w:val="sr-Cyrl-CS"/>
              </w:rPr>
              <w:t xml:space="preserve">, </w:t>
            </w:r>
            <w:r w:rsidR="00227E91">
              <w:t>organization with public authorizations</w:t>
            </w:r>
            <w:r w:rsidR="00227E91" w:rsidRPr="003D0483">
              <w:rPr>
                <w:lang w:val="sr-Cyrl-CS"/>
              </w:rPr>
              <w:t xml:space="preserve">...) </w:t>
            </w:r>
            <w:r w:rsidR="00227E91">
              <w:t xml:space="preserve">to work additional job of same kind without special mechanisms of protection from abuse </w:t>
            </w:r>
            <w:r w:rsidR="00824F6D">
              <w:t xml:space="preserve">should remain </w:t>
            </w:r>
            <w:r w:rsidR="00186C4E" w:rsidRPr="003D0483">
              <w:rPr>
                <w:lang w:val="sr-Cyrl-CS"/>
              </w:rPr>
              <w:t>(</w:t>
            </w:r>
            <w:r w:rsidR="00824F6D">
              <w:t>public or private</w:t>
            </w:r>
            <w:r w:rsidR="00186C4E" w:rsidRPr="003D0483">
              <w:rPr>
                <w:lang w:val="sr-Cyrl-CS"/>
              </w:rPr>
              <w:t xml:space="preserve">), </w:t>
            </w:r>
            <w:r w:rsidR="00824F6D">
              <w:t>and that it doesn’t represent conflict of interest</w:t>
            </w:r>
            <w:r w:rsidR="00186C4E" w:rsidRPr="003D0483">
              <w:rPr>
                <w:lang w:val="sr-Cyrl-CS"/>
              </w:rPr>
              <w:t>.</w:t>
            </w:r>
          </w:p>
          <w:p w:rsidR="00442BAC" w:rsidRDefault="00442BAC" w:rsidP="00442BAC">
            <w:pPr>
              <w:spacing w:after="120"/>
              <w:jc w:val="both"/>
              <w:rPr>
                <w:lang w:val="sr-Cyrl-CS"/>
              </w:rPr>
            </w:pPr>
          </w:p>
          <w:p w:rsidR="00442BAC" w:rsidRDefault="00442BAC" w:rsidP="00442BAC">
            <w:pPr>
              <w:spacing w:after="120"/>
              <w:jc w:val="both"/>
              <w:rPr>
                <w:lang w:val="sr-Cyrl-CS"/>
              </w:rPr>
            </w:pPr>
          </w:p>
          <w:p w:rsidR="00442BAC" w:rsidRDefault="00442BAC" w:rsidP="00442BAC">
            <w:pPr>
              <w:spacing w:after="120"/>
              <w:jc w:val="both"/>
              <w:rPr>
                <w:lang w:val="sr-Cyrl-CS"/>
              </w:rPr>
            </w:pPr>
          </w:p>
          <w:p w:rsidR="00442BAC" w:rsidRDefault="00442BAC" w:rsidP="00442BAC">
            <w:pPr>
              <w:spacing w:after="120"/>
              <w:jc w:val="both"/>
              <w:rPr>
                <w:lang w:val="sr-Cyrl-CS"/>
              </w:rPr>
            </w:pPr>
          </w:p>
          <w:p w:rsidR="00442BAC" w:rsidRDefault="00442BAC" w:rsidP="00442BAC">
            <w:pPr>
              <w:spacing w:after="120"/>
              <w:jc w:val="both"/>
              <w:rPr>
                <w:lang w:val="sr-Cyrl-CS"/>
              </w:rPr>
            </w:pPr>
          </w:p>
          <w:p w:rsidR="00442BAC" w:rsidRDefault="00442BAC" w:rsidP="00442BAC">
            <w:pPr>
              <w:spacing w:after="120"/>
              <w:jc w:val="both"/>
              <w:rPr>
                <w:lang w:val="sr-Cyrl-CS"/>
              </w:rPr>
            </w:pPr>
          </w:p>
          <w:p w:rsidR="00442BAC" w:rsidRDefault="00442BAC" w:rsidP="00442BAC">
            <w:pPr>
              <w:spacing w:after="120"/>
              <w:jc w:val="both"/>
              <w:rPr>
                <w:lang w:val="sr-Cyrl-CS"/>
              </w:rPr>
            </w:pPr>
          </w:p>
          <w:p w:rsidR="00442BAC" w:rsidRPr="003D0483" w:rsidRDefault="00442BAC" w:rsidP="00442BAC">
            <w:pPr>
              <w:spacing w:after="120"/>
              <w:jc w:val="both"/>
              <w:rPr>
                <w:lang w:val="sr-Cyrl-CS"/>
              </w:rPr>
            </w:pPr>
          </w:p>
        </w:tc>
        <w:tc>
          <w:tcPr>
            <w:tcW w:w="6405" w:type="dxa"/>
          </w:tcPr>
          <w:p w:rsidR="00186C4E" w:rsidRDefault="007C5535" w:rsidP="007C5535">
            <w:pPr>
              <w:jc w:val="center"/>
            </w:pPr>
            <w:r>
              <w:lastRenderedPageBreak/>
              <w:t>CONCLUSIONS</w:t>
            </w:r>
          </w:p>
          <w:p w:rsidR="007C5535" w:rsidRDefault="00C2119F" w:rsidP="007C5535">
            <w:pPr>
              <w:jc w:val="center"/>
            </w:pPr>
            <w:r>
              <w:t>o</w:t>
            </w:r>
            <w:r w:rsidR="007C5535">
              <w:t>n</w:t>
            </w:r>
          </w:p>
          <w:p w:rsidR="007C5535" w:rsidRDefault="007C5535" w:rsidP="007C5535">
            <w:pPr>
              <w:jc w:val="center"/>
            </w:pPr>
            <w:r>
              <w:t>Regular annual reporting of Ombudsman for 2010</w:t>
            </w:r>
          </w:p>
          <w:p w:rsidR="007C5535" w:rsidRDefault="007C5535" w:rsidP="007C5535">
            <w:pPr>
              <w:jc w:val="center"/>
            </w:pPr>
          </w:p>
          <w:p w:rsidR="007807F3" w:rsidRDefault="007C5535" w:rsidP="007807F3">
            <w:pPr>
              <w:pStyle w:val="ListParagraph"/>
              <w:numPr>
                <w:ilvl w:val="0"/>
                <w:numId w:val="6"/>
              </w:numPr>
            </w:pPr>
            <w:r>
              <w:t xml:space="preserve">National Assembly assesses that </w:t>
            </w:r>
            <w:r w:rsidR="007807F3">
              <w:t xml:space="preserve">in its Annual Report on work </w:t>
            </w:r>
            <w:r>
              <w:t>Om</w:t>
            </w:r>
            <w:r w:rsidR="007807F3">
              <w:t>budsman presented complete status</w:t>
            </w:r>
            <w:r>
              <w:t xml:space="preserve"> of human and minority rights in Serbia and quality of </w:t>
            </w:r>
            <w:r w:rsidR="00EB4970">
              <w:t xml:space="preserve">their implementation before state organs, </w:t>
            </w:r>
            <w:r w:rsidR="007807F3">
              <w:t xml:space="preserve">indicated to necessary changes in work of public sector completely that would promote their implementation and protection, as well as complete overview of Ombudsman’s activities in executing of constitutional and legal jurisdictions </w:t>
            </w:r>
          </w:p>
          <w:p w:rsidR="00B11DBE" w:rsidRDefault="007807F3" w:rsidP="007807F3">
            <w:pPr>
              <w:pStyle w:val="ListParagraph"/>
              <w:numPr>
                <w:ilvl w:val="0"/>
                <w:numId w:val="6"/>
              </w:numPr>
            </w:pPr>
            <w:r>
              <w:t xml:space="preserve">National Assembly ascertains that the duty of all state organs and holders of public authorizations </w:t>
            </w:r>
            <w:r w:rsidR="00C2119F">
              <w:t xml:space="preserve">is </w:t>
            </w:r>
            <w:r>
              <w:t xml:space="preserve">to respect, in performing of their authorities, recommendations of Ombudsman in the goal of accomplishing and protection of human and minority rights and freedoms, </w:t>
            </w:r>
            <w:r w:rsidR="00B11DBE">
              <w:t>as well as how to proceed in accordance with good governance provisions.</w:t>
            </w:r>
          </w:p>
          <w:p w:rsidR="007807F3" w:rsidRPr="000B41F3" w:rsidRDefault="00B11DBE" w:rsidP="007807F3">
            <w:pPr>
              <w:pStyle w:val="ListParagraph"/>
              <w:numPr>
                <w:ilvl w:val="0"/>
                <w:numId w:val="6"/>
              </w:numPr>
            </w:pPr>
            <w:r>
              <w:t xml:space="preserve">National Assembly will, in performing of its control function determined with Constitution and Law, monitor </w:t>
            </w:r>
            <w:r>
              <w:lastRenderedPageBreak/>
              <w:t xml:space="preserve">work of executive organs and holders of public authorizations from the perspective of respecting recommendations of Ombudsman from submitted report, and in accordance with its jurisdictions, contribute to implementation and respecting of human and minority rights and freedoms. </w:t>
            </w:r>
          </w:p>
        </w:tc>
      </w:tr>
      <w:tr w:rsidR="00186C4E" w:rsidRPr="003D0483" w:rsidTr="000B41F3">
        <w:trPr>
          <w:cantSplit/>
        </w:trPr>
        <w:tc>
          <w:tcPr>
            <w:tcW w:w="6771" w:type="dxa"/>
          </w:tcPr>
          <w:p w:rsidR="00186C4E" w:rsidRPr="00043B38" w:rsidRDefault="00AD78D9" w:rsidP="00AD78D9">
            <w:pPr>
              <w:rPr>
                <w:b/>
              </w:rPr>
            </w:pPr>
            <w:r>
              <w:rPr>
                <w:b/>
              </w:rPr>
              <w:lastRenderedPageBreak/>
              <w:t>Commissioner for Information of Public Importance and Protection of Personal Data</w:t>
            </w:r>
          </w:p>
        </w:tc>
        <w:tc>
          <w:tcPr>
            <w:tcW w:w="6405" w:type="dxa"/>
          </w:tcPr>
          <w:p w:rsidR="00186C4E" w:rsidRPr="00043B38" w:rsidRDefault="00AD78D9" w:rsidP="00AD78D9">
            <w:pPr>
              <w:rPr>
                <w:b/>
              </w:rPr>
            </w:pPr>
            <w:r>
              <w:rPr>
                <w:b/>
              </w:rPr>
              <w:t>Culture and Information Committee</w:t>
            </w:r>
          </w:p>
        </w:tc>
      </w:tr>
      <w:tr w:rsidR="00186C4E" w:rsidRPr="003D0483" w:rsidTr="0073722D">
        <w:tc>
          <w:tcPr>
            <w:tcW w:w="6771" w:type="dxa"/>
          </w:tcPr>
          <w:p w:rsidR="00AA05CB" w:rsidRPr="0021705F" w:rsidRDefault="00AA05CB" w:rsidP="00AA05CB">
            <w:pPr>
              <w:ind w:firstLine="720"/>
              <w:jc w:val="both"/>
              <w:rPr>
                <w:b/>
                <w:lang w:val="en-GB"/>
              </w:rPr>
            </w:pPr>
            <w:r>
              <w:rPr>
                <w:b/>
                <w:lang w:val="en-GB"/>
              </w:rPr>
              <w:t>With a view to improving the exercise of freedom of information and personal data protection, the Commissioner</w:t>
            </w:r>
            <w:r w:rsidRPr="0021705F">
              <w:rPr>
                <w:b/>
                <w:lang w:val="en-GB"/>
              </w:rPr>
              <w:t xml:space="preserve"> </w:t>
            </w:r>
            <w:r>
              <w:rPr>
                <w:b/>
                <w:lang w:val="en-GB"/>
              </w:rPr>
              <w:t xml:space="preserve">proposes in particular that the National Assembly, when enacting new regulations and amending the existing ones, with due observance of relevant European standards, should take </w:t>
            </w:r>
            <w:r>
              <w:rPr>
                <w:b/>
                <w:lang w:val="en-GB"/>
              </w:rPr>
              <w:lastRenderedPageBreak/>
              <w:t>the following measures</w:t>
            </w:r>
            <w:r w:rsidRPr="0021705F">
              <w:rPr>
                <w:b/>
                <w:lang w:val="en-GB"/>
              </w:rPr>
              <w:t xml:space="preserve">: </w:t>
            </w:r>
          </w:p>
          <w:p w:rsidR="00AA05CB" w:rsidRPr="0021705F" w:rsidRDefault="00AA05CB" w:rsidP="00AA05CB">
            <w:pPr>
              <w:ind w:firstLine="720"/>
              <w:jc w:val="both"/>
              <w:rPr>
                <w:lang w:val="en-GB"/>
              </w:rPr>
            </w:pPr>
            <w:r w:rsidRPr="0021705F">
              <w:rPr>
                <w:lang w:val="en-GB"/>
              </w:rPr>
              <w:t xml:space="preserve">1) </w:t>
            </w:r>
            <w:r>
              <w:rPr>
                <w:lang w:val="en-GB"/>
              </w:rPr>
              <w:t>Ensure unity and consistency of the legal system in the field of freedom of information and personal data protection</w:t>
            </w:r>
            <w:r w:rsidRPr="0021705F">
              <w:rPr>
                <w:lang w:val="en-GB"/>
              </w:rPr>
              <w:t xml:space="preserve">,  </w:t>
            </w:r>
          </w:p>
          <w:p w:rsidR="00AA05CB" w:rsidRPr="0021705F" w:rsidRDefault="00AA05CB" w:rsidP="00AA05CB">
            <w:pPr>
              <w:ind w:firstLine="720"/>
              <w:jc w:val="both"/>
              <w:rPr>
                <w:lang w:val="en-GB"/>
              </w:rPr>
            </w:pPr>
          </w:p>
          <w:p w:rsidR="00AA05CB" w:rsidRPr="0021705F" w:rsidRDefault="00AA05CB" w:rsidP="00AA05CB">
            <w:pPr>
              <w:pStyle w:val="Default"/>
              <w:ind w:firstLine="720"/>
              <w:jc w:val="both"/>
              <w:rPr>
                <w:rFonts w:ascii="Times New Roman" w:hAnsi="Times New Roman" w:cs="Times New Roman"/>
                <w:lang w:val="en-GB"/>
              </w:rPr>
            </w:pPr>
            <w:r w:rsidRPr="0021705F">
              <w:rPr>
                <w:rFonts w:ascii="Times New Roman" w:hAnsi="Times New Roman" w:cs="Times New Roman"/>
                <w:lang w:val="en-GB"/>
              </w:rPr>
              <w:t xml:space="preserve">2) </w:t>
            </w:r>
            <w:r>
              <w:rPr>
                <w:rFonts w:ascii="Times New Roman" w:hAnsi="Times New Roman" w:cs="Times New Roman"/>
                <w:lang w:val="en-GB"/>
              </w:rPr>
              <w:t>Insist on the use of mechanisms and guarantees for practical implementation of regulations in the fields of freedom of information and personal data protection</w:t>
            </w:r>
            <w:r w:rsidRPr="0021705F">
              <w:rPr>
                <w:rFonts w:ascii="Times New Roman" w:hAnsi="Times New Roman" w:cs="Times New Roman"/>
                <w:lang w:val="en-GB"/>
              </w:rPr>
              <w:t xml:space="preserve">, </w:t>
            </w:r>
            <w:r>
              <w:rPr>
                <w:rFonts w:ascii="Times New Roman" w:hAnsi="Times New Roman" w:cs="Times New Roman"/>
                <w:lang w:val="en-GB"/>
              </w:rPr>
              <w:t>as well as on effective</w:t>
            </w:r>
            <w:r w:rsidRPr="0021705F">
              <w:rPr>
                <w:rFonts w:ascii="Times New Roman" w:hAnsi="Times New Roman" w:cs="Times New Roman"/>
                <w:lang w:val="en-GB"/>
              </w:rPr>
              <w:t xml:space="preserve"> </w:t>
            </w:r>
            <w:r>
              <w:rPr>
                <w:rFonts w:ascii="Times New Roman" w:hAnsi="Times New Roman" w:cs="Times New Roman"/>
                <w:lang w:val="en-GB"/>
              </w:rPr>
              <w:t>supervision</w:t>
            </w:r>
            <w:r w:rsidRPr="0021705F">
              <w:rPr>
                <w:rFonts w:ascii="Times New Roman" w:hAnsi="Times New Roman" w:cs="Times New Roman"/>
                <w:lang w:val="en-GB"/>
              </w:rPr>
              <w:t xml:space="preserve"> </w:t>
            </w:r>
            <w:r>
              <w:rPr>
                <w:rFonts w:ascii="Times New Roman" w:hAnsi="Times New Roman" w:cs="Times New Roman"/>
                <w:lang w:val="en-GB"/>
              </w:rPr>
              <w:t>of compliance with and implementation of those regulations</w:t>
            </w:r>
            <w:r w:rsidRPr="0021705F">
              <w:rPr>
                <w:rFonts w:ascii="Times New Roman" w:hAnsi="Times New Roman" w:cs="Times New Roman"/>
                <w:lang w:val="en-GB"/>
              </w:rPr>
              <w:t xml:space="preserve">,  </w:t>
            </w:r>
          </w:p>
          <w:p w:rsidR="00AA05CB" w:rsidRPr="0021705F" w:rsidRDefault="00AA05CB" w:rsidP="00AA05CB">
            <w:pPr>
              <w:pStyle w:val="Default"/>
              <w:ind w:firstLine="720"/>
              <w:jc w:val="both"/>
              <w:rPr>
                <w:rFonts w:ascii="Times New Roman" w:hAnsi="Times New Roman" w:cs="Times New Roman"/>
                <w:lang w:val="en-GB"/>
              </w:rPr>
            </w:pPr>
          </w:p>
          <w:p w:rsidR="00AA05CB" w:rsidRPr="0021705F" w:rsidRDefault="00AA05CB" w:rsidP="00AA05CB">
            <w:pPr>
              <w:pStyle w:val="Default"/>
              <w:ind w:firstLine="720"/>
              <w:jc w:val="both"/>
              <w:rPr>
                <w:rFonts w:ascii="Times New Roman" w:hAnsi="Times New Roman" w:cs="Times New Roman"/>
                <w:lang w:val="en-GB"/>
              </w:rPr>
            </w:pPr>
            <w:r w:rsidRPr="0021705F">
              <w:rPr>
                <w:rFonts w:ascii="Times New Roman" w:hAnsi="Times New Roman" w:cs="Times New Roman"/>
                <w:lang w:val="en-GB"/>
              </w:rPr>
              <w:t xml:space="preserve">3) </w:t>
            </w:r>
            <w:r>
              <w:rPr>
                <w:rFonts w:ascii="Times New Roman" w:hAnsi="Times New Roman" w:cs="Times New Roman"/>
                <w:lang w:val="en-GB"/>
              </w:rPr>
              <w:t>Insist on accountability for omissions in the work of public authorities and public office holders</w:t>
            </w:r>
            <w:r w:rsidRPr="0021705F">
              <w:rPr>
                <w:rFonts w:ascii="Times New Roman" w:hAnsi="Times New Roman" w:cs="Times New Roman"/>
                <w:lang w:val="en-GB"/>
              </w:rPr>
              <w:t xml:space="preserve"> </w:t>
            </w:r>
            <w:r>
              <w:rPr>
                <w:rFonts w:ascii="Times New Roman" w:hAnsi="Times New Roman" w:cs="Times New Roman"/>
                <w:lang w:val="en-GB"/>
              </w:rPr>
              <w:t>in the fields of freedom of information and personal data protection</w:t>
            </w:r>
            <w:r w:rsidRPr="0021705F">
              <w:rPr>
                <w:rFonts w:ascii="Times New Roman" w:hAnsi="Times New Roman" w:cs="Times New Roman"/>
                <w:lang w:val="en-GB"/>
              </w:rPr>
              <w:t xml:space="preserve">, </w:t>
            </w:r>
          </w:p>
          <w:p w:rsidR="00AA05CB" w:rsidRPr="0021705F" w:rsidRDefault="00AA05CB" w:rsidP="00AA05CB">
            <w:pPr>
              <w:ind w:firstLine="615"/>
              <w:jc w:val="both"/>
              <w:rPr>
                <w:lang w:val="en-GB"/>
              </w:rPr>
            </w:pPr>
            <w:r w:rsidRPr="0021705F">
              <w:rPr>
                <w:lang w:val="en-GB"/>
              </w:rPr>
              <w:t xml:space="preserve">  </w:t>
            </w:r>
          </w:p>
          <w:p w:rsidR="00AA05CB" w:rsidRPr="0021705F" w:rsidRDefault="00AA05CB" w:rsidP="00AA05CB">
            <w:pPr>
              <w:ind w:firstLine="615"/>
              <w:jc w:val="both"/>
              <w:rPr>
                <w:lang w:val="en-GB"/>
              </w:rPr>
            </w:pPr>
            <w:r w:rsidRPr="0021705F">
              <w:rPr>
                <w:lang w:val="en-GB"/>
              </w:rPr>
              <w:t xml:space="preserve"> 4) </w:t>
            </w:r>
            <w:r>
              <w:rPr>
                <w:lang w:val="en-GB"/>
              </w:rPr>
              <w:t>Provide appropriate support in an effort to enable full independence of the Commissioner in his work</w:t>
            </w:r>
            <w:r w:rsidRPr="0021705F">
              <w:rPr>
                <w:lang w:val="en-GB"/>
              </w:rPr>
              <w:t xml:space="preserve">. </w:t>
            </w:r>
          </w:p>
          <w:p w:rsidR="00AA05CB" w:rsidRPr="0021705F" w:rsidRDefault="00AA05CB" w:rsidP="00AA05CB">
            <w:pPr>
              <w:pStyle w:val="Default"/>
              <w:ind w:firstLine="720"/>
              <w:jc w:val="both"/>
              <w:rPr>
                <w:rFonts w:ascii="Times New Roman" w:hAnsi="Times New Roman" w:cs="Times New Roman"/>
                <w:lang w:val="en-GB"/>
              </w:rPr>
            </w:pPr>
          </w:p>
          <w:p w:rsidR="00186C4E" w:rsidRDefault="00186C4E" w:rsidP="0073722D"/>
          <w:p w:rsidR="000B41F3" w:rsidRDefault="000B41F3" w:rsidP="0073722D"/>
          <w:p w:rsidR="000B41F3" w:rsidRDefault="000B41F3" w:rsidP="0073722D"/>
          <w:p w:rsidR="000B41F3" w:rsidRDefault="000B41F3" w:rsidP="0073722D"/>
          <w:p w:rsidR="000B41F3" w:rsidRDefault="000B41F3" w:rsidP="0073722D"/>
          <w:p w:rsidR="000B41F3" w:rsidRPr="000B41F3" w:rsidRDefault="000B41F3" w:rsidP="0073722D"/>
        </w:tc>
        <w:tc>
          <w:tcPr>
            <w:tcW w:w="6405" w:type="dxa"/>
          </w:tcPr>
          <w:p w:rsidR="00186C4E" w:rsidRDefault="00B11DBE" w:rsidP="00B11DBE">
            <w:pPr>
              <w:jc w:val="center"/>
            </w:pPr>
            <w:r>
              <w:lastRenderedPageBreak/>
              <w:t>CONCLUSION</w:t>
            </w:r>
          </w:p>
          <w:p w:rsidR="00B11DBE" w:rsidRDefault="00B11DBE" w:rsidP="00B11DBE">
            <w:pPr>
              <w:jc w:val="center"/>
            </w:pPr>
            <w:r>
              <w:t xml:space="preserve">Related to considering of the Report on </w:t>
            </w:r>
            <w:r w:rsidR="00A96F3B">
              <w:t xml:space="preserve">Implementation of the Law on </w:t>
            </w:r>
            <w:r>
              <w:t xml:space="preserve">Free Access to Information and Protection of Personal Data </w:t>
            </w:r>
            <w:r w:rsidR="00A96F3B">
              <w:t>for 2010</w:t>
            </w:r>
          </w:p>
          <w:p w:rsidR="00A96F3B" w:rsidRDefault="00A96F3B" w:rsidP="00B11DBE">
            <w:pPr>
              <w:jc w:val="center"/>
            </w:pPr>
          </w:p>
          <w:p w:rsidR="00A96F3B" w:rsidRDefault="00A96F3B" w:rsidP="00A96F3B">
            <w:r>
              <w:lastRenderedPageBreak/>
              <w:t>Report on Implementation of the Law on Free Access to Information and Protection of Personal Data for 2010, submitted by Commissioner for Information of Public Importance and Protection of Personal Data is accepted.</w:t>
            </w:r>
          </w:p>
          <w:p w:rsidR="00A96F3B" w:rsidRDefault="00A96F3B" w:rsidP="00A96F3B"/>
          <w:p w:rsidR="006417E2" w:rsidRDefault="006417E2" w:rsidP="006417E2">
            <w:pPr>
              <w:ind w:firstLine="720"/>
              <w:jc w:val="both"/>
              <w:rPr>
                <w:lang w:val="en-GB"/>
              </w:rPr>
            </w:pPr>
            <w:r>
              <w:rPr>
                <w:lang w:val="en-GB"/>
              </w:rPr>
              <w:t>W</w:t>
            </w:r>
            <w:r w:rsidRPr="006417E2">
              <w:rPr>
                <w:lang w:val="en-GB"/>
              </w:rPr>
              <w:t>hen enacting new regulations and amending the existing ones</w:t>
            </w:r>
            <w:r w:rsidRPr="006417E2">
              <w:t xml:space="preserve"> </w:t>
            </w:r>
            <w:r w:rsidR="00A96F3B" w:rsidRPr="006417E2">
              <w:t xml:space="preserve">National Assembly will, </w:t>
            </w:r>
            <w:r w:rsidRPr="006417E2">
              <w:rPr>
                <w:lang w:val="en-GB"/>
              </w:rPr>
              <w:t>with due observance of relevant European standards, take the following measures:</w:t>
            </w:r>
          </w:p>
          <w:p w:rsidR="006417E2" w:rsidRPr="006417E2" w:rsidRDefault="006417E2" w:rsidP="006417E2">
            <w:pPr>
              <w:ind w:firstLine="720"/>
              <w:jc w:val="both"/>
              <w:rPr>
                <w:lang w:val="en-GB"/>
              </w:rPr>
            </w:pPr>
            <w:r w:rsidRPr="006417E2">
              <w:rPr>
                <w:lang w:val="en-GB"/>
              </w:rPr>
              <w:t xml:space="preserve"> </w:t>
            </w:r>
          </w:p>
          <w:p w:rsidR="006417E2" w:rsidRPr="0021705F" w:rsidRDefault="00C2119F" w:rsidP="006417E2">
            <w:pPr>
              <w:ind w:firstLine="720"/>
              <w:jc w:val="both"/>
              <w:rPr>
                <w:lang w:val="en-GB"/>
              </w:rPr>
            </w:pPr>
            <w:r>
              <w:rPr>
                <w:lang w:val="en-GB"/>
              </w:rPr>
              <w:t xml:space="preserve">1) </w:t>
            </w:r>
            <w:r w:rsidR="006417E2">
              <w:rPr>
                <w:lang w:val="en-GB"/>
              </w:rPr>
              <w:t>Ensure unity and consistency of the legal system in the field of freedom of information and personal data protection</w:t>
            </w:r>
            <w:r w:rsidR="006417E2" w:rsidRPr="0021705F">
              <w:rPr>
                <w:lang w:val="en-GB"/>
              </w:rPr>
              <w:t xml:space="preserve">,  </w:t>
            </w:r>
          </w:p>
          <w:p w:rsidR="006417E2" w:rsidRPr="0021705F" w:rsidRDefault="006417E2" w:rsidP="006417E2">
            <w:pPr>
              <w:ind w:firstLine="720"/>
              <w:jc w:val="both"/>
              <w:rPr>
                <w:lang w:val="en-GB"/>
              </w:rPr>
            </w:pPr>
          </w:p>
          <w:p w:rsidR="006417E2" w:rsidRPr="0021705F" w:rsidRDefault="006417E2" w:rsidP="006417E2">
            <w:pPr>
              <w:pStyle w:val="Default"/>
              <w:ind w:firstLine="720"/>
              <w:jc w:val="both"/>
              <w:rPr>
                <w:rFonts w:ascii="Times New Roman" w:hAnsi="Times New Roman" w:cs="Times New Roman"/>
                <w:lang w:val="en-GB"/>
              </w:rPr>
            </w:pPr>
            <w:r w:rsidRPr="0021705F">
              <w:rPr>
                <w:rFonts w:ascii="Times New Roman" w:hAnsi="Times New Roman" w:cs="Times New Roman"/>
                <w:lang w:val="en-GB"/>
              </w:rPr>
              <w:t xml:space="preserve">2) </w:t>
            </w:r>
            <w:r>
              <w:rPr>
                <w:rFonts w:ascii="Times New Roman" w:hAnsi="Times New Roman" w:cs="Times New Roman"/>
                <w:lang w:val="en-GB"/>
              </w:rPr>
              <w:t>Insist on the use of mechanisms and guarantees for practical implementation of regulations in the fields of freedom of information and personal data protection</w:t>
            </w:r>
            <w:r w:rsidRPr="0021705F">
              <w:rPr>
                <w:rFonts w:ascii="Times New Roman" w:hAnsi="Times New Roman" w:cs="Times New Roman"/>
                <w:lang w:val="en-GB"/>
              </w:rPr>
              <w:t xml:space="preserve">, </w:t>
            </w:r>
            <w:r>
              <w:rPr>
                <w:rFonts w:ascii="Times New Roman" w:hAnsi="Times New Roman" w:cs="Times New Roman"/>
                <w:lang w:val="en-GB"/>
              </w:rPr>
              <w:t>as well as on effective</w:t>
            </w:r>
            <w:r w:rsidRPr="0021705F">
              <w:rPr>
                <w:rFonts w:ascii="Times New Roman" w:hAnsi="Times New Roman" w:cs="Times New Roman"/>
                <w:lang w:val="en-GB"/>
              </w:rPr>
              <w:t xml:space="preserve"> </w:t>
            </w:r>
            <w:r>
              <w:rPr>
                <w:rFonts w:ascii="Times New Roman" w:hAnsi="Times New Roman" w:cs="Times New Roman"/>
                <w:lang w:val="en-GB"/>
              </w:rPr>
              <w:t>supervision</w:t>
            </w:r>
            <w:r w:rsidRPr="0021705F">
              <w:rPr>
                <w:rFonts w:ascii="Times New Roman" w:hAnsi="Times New Roman" w:cs="Times New Roman"/>
                <w:lang w:val="en-GB"/>
              </w:rPr>
              <w:t xml:space="preserve"> </w:t>
            </w:r>
            <w:r>
              <w:rPr>
                <w:rFonts w:ascii="Times New Roman" w:hAnsi="Times New Roman" w:cs="Times New Roman"/>
                <w:lang w:val="en-GB"/>
              </w:rPr>
              <w:t>of compliance with and implementation of those regulations</w:t>
            </w:r>
            <w:r w:rsidRPr="0021705F">
              <w:rPr>
                <w:rFonts w:ascii="Times New Roman" w:hAnsi="Times New Roman" w:cs="Times New Roman"/>
                <w:lang w:val="en-GB"/>
              </w:rPr>
              <w:t xml:space="preserve">,  </w:t>
            </w:r>
          </w:p>
          <w:p w:rsidR="006417E2" w:rsidRPr="0021705F" w:rsidRDefault="006417E2" w:rsidP="006417E2">
            <w:pPr>
              <w:pStyle w:val="Default"/>
              <w:ind w:firstLine="720"/>
              <w:jc w:val="both"/>
              <w:rPr>
                <w:rFonts w:ascii="Times New Roman" w:hAnsi="Times New Roman" w:cs="Times New Roman"/>
                <w:lang w:val="en-GB"/>
              </w:rPr>
            </w:pPr>
          </w:p>
          <w:p w:rsidR="006417E2" w:rsidRPr="0021705F" w:rsidRDefault="006417E2" w:rsidP="006417E2">
            <w:pPr>
              <w:pStyle w:val="Default"/>
              <w:ind w:firstLine="720"/>
              <w:jc w:val="both"/>
              <w:rPr>
                <w:rFonts w:ascii="Times New Roman" w:hAnsi="Times New Roman" w:cs="Times New Roman"/>
                <w:lang w:val="en-GB"/>
              </w:rPr>
            </w:pPr>
            <w:r w:rsidRPr="0021705F">
              <w:rPr>
                <w:rFonts w:ascii="Times New Roman" w:hAnsi="Times New Roman" w:cs="Times New Roman"/>
                <w:lang w:val="en-GB"/>
              </w:rPr>
              <w:t xml:space="preserve">3) </w:t>
            </w:r>
            <w:r>
              <w:rPr>
                <w:rFonts w:ascii="Times New Roman" w:hAnsi="Times New Roman" w:cs="Times New Roman"/>
                <w:lang w:val="en-GB"/>
              </w:rPr>
              <w:t>Insist on accountability for omissions in the work of public authorities and public office holders</w:t>
            </w:r>
            <w:r w:rsidRPr="0021705F">
              <w:rPr>
                <w:rFonts w:ascii="Times New Roman" w:hAnsi="Times New Roman" w:cs="Times New Roman"/>
                <w:lang w:val="en-GB"/>
              </w:rPr>
              <w:t xml:space="preserve"> </w:t>
            </w:r>
            <w:r>
              <w:rPr>
                <w:rFonts w:ascii="Times New Roman" w:hAnsi="Times New Roman" w:cs="Times New Roman"/>
                <w:lang w:val="en-GB"/>
              </w:rPr>
              <w:t>in the fields of freedom of information and personal data protection</w:t>
            </w:r>
            <w:r w:rsidRPr="0021705F">
              <w:rPr>
                <w:rFonts w:ascii="Times New Roman" w:hAnsi="Times New Roman" w:cs="Times New Roman"/>
                <w:lang w:val="en-GB"/>
              </w:rPr>
              <w:t xml:space="preserve">, </w:t>
            </w:r>
          </w:p>
          <w:p w:rsidR="006417E2" w:rsidRPr="0021705F" w:rsidRDefault="006417E2" w:rsidP="006417E2">
            <w:pPr>
              <w:ind w:firstLine="615"/>
              <w:jc w:val="both"/>
              <w:rPr>
                <w:lang w:val="en-GB"/>
              </w:rPr>
            </w:pPr>
            <w:r w:rsidRPr="0021705F">
              <w:rPr>
                <w:lang w:val="en-GB"/>
              </w:rPr>
              <w:t xml:space="preserve">  </w:t>
            </w:r>
          </w:p>
          <w:p w:rsidR="006417E2" w:rsidRPr="0021705F" w:rsidRDefault="006417E2" w:rsidP="006417E2">
            <w:pPr>
              <w:ind w:firstLine="615"/>
              <w:jc w:val="both"/>
              <w:rPr>
                <w:lang w:val="en-GB"/>
              </w:rPr>
            </w:pPr>
            <w:r w:rsidRPr="0021705F">
              <w:rPr>
                <w:lang w:val="en-GB"/>
              </w:rPr>
              <w:t xml:space="preserve"> 4) </w:t>
            </w:r>
            <w:r>
              <w:rPr>
                <w:lang w:val="en-GB"/>
              </w:rPr>
              <w:t>Provide appropriate support in an effort to enable full independence of the Commissioner in his work</w:t>
            </w:r>
            <w:r w:rsidRPr="0021705F">
              <w:rPr>
                <w:lang w:val="en-GB"/>
              </w:rPr>
              <w:t xml:space="preserve">. </w:t>
            </w:r>
          </w:p>
          <w:p w:rsidR="006417E2" w:rsidRPr="0021705F" w:rsidRDefault="006417E2" w:rsidP="006417E2">
            <w:pPr>
              <w:pStyle w:val="Default"/>
              <w:ind w:firstLine="720"/>
              <w:jc w:val="both"/>
              <w:rPr>
                <w:rFonts w:ascii="Times New Roman" w:hAnsi="Times New Roman" w:cs="Times New Roman"/>
                <w:lang w:val="en-GB"/>
              </w:rPr>
            </w:pPr>
          </w:p>
          <w:p w:rsidR="00A96F3B" w:rsidRPr="003D0483" w:rsidRDefault="00A96F3B" w:rsidP="006417E2"/>
        </w:tc>
      </w:tr>
      <w:tr w:rsidR="00186C4E" w:rsidRPr="003D0483" w:rsidTr="0073722D">
        <w:tc>
          <w:tcPr>
            <w:tcW w:w="6771" w:type="dxa"/>
          </w:tcPr>
          <w:p w:rsidR="00186C4E" w:rsidRPr="00043B38" w:rsidRDefault="00AD78D9" w:rsidP="00AD78D9">
            <w:pPr>
              <w:rPr>
                <w:b/>
              </w:rPr>
            </w:pPr>
            <w:r>
              <w:rPr>
                <w:b/>
              </w:rPr>
              <w:lastRenderedPageBreak/>
              <w:t>State Audit Institution</w:t>
            </w:r>
          </w:p>
        </w:tc>
        <w:tc>
          <w:tcPr>
            <w:tcW w:w="6405" w:type="dxa"/>
          </w:tcPr>
          <w:p w:rsidR="00186C4E" w:rsidRPr="00043B38" w:rsidRDefault="00AD78D9" w:rsidP="00AA05CB">
            <w:pPr>
              <w:rPr>
                <w:b/>
              </w:rPr>
            </w:pPr>
            <w:r>
              <w:rPr>
                <w:b/>
              </w:rPr>
              <w:t xml:space="preserve">Finance </w:t>
            </w:r>
            <w:r w:rsidR="00C2119F">
              <w:rPr>
                <w:b/>
              </w:rPr>
              <w:t>Committee</w:t>
            </w:r>
          </w:p>
        </w:tc>
      </w:tr>
      <w:tr w:rsidR="00186C4E" w:rsidRPr="003D0483" w:rsidTr="007C5535">
        <w:trPr>
          <w:trHeight w:val="3035"/>
        </w:trPr>
        <w:tc>
          <w:tcPr>
            <w:tcW w:w="6771" w:type="dxa"/>
          </w:tcPr>
          <w:p w:rsidR="00186C4E" w:rsidRPr="00F15850" w:rsidRDefault="00AA05CB" w:rsidP="007C5535">
            <w:r>
              <w:t xml:space="preserve">There were no </w:t>
            </w:r>
            <w:r w:rsidR="004015E6">
              <w:t>recommendations</w:t>
            </w:r>
          </w:p>
        </w:tc>
        <w:tc>
          <w:tcPr>
            <w:tcW w:w="6405" w:type="dxa"/>
          </w:tcPr>
          <w:p w:rsidR="007C5535" w:rsidRDefault="007C5535" w:rsidP="007C5535">
            <w:pPr>
              <w:jc w:val="center"/>
            </w:pPr>
          </w:p>
          <w:p w:rsidR="007C5535" w:rsidRDefault="007C5535" w:rsidP="007C5535">
            <w:pPr>
              <w:jc w:val="center"/>
            </w:pPr>
            <w:r>
              <w:t>CONCLUSION</w:t>
            </w:r>
          </w:p>
          <w:p w:rsidR="007C5535" w:rsidRDefault="007C5535" w:rsidP="007C5535">
            <w:pPr>
              <w:jc w:val="center"/>
            </w:pPr>
            <w:r>
              <w:t>On</w:t>
            </w:r>
          </w:p>
          <w:p w:rsidR="007C5535" w:rsidRDefault="007C5535" w:rsidP="007C5535">
            <w:pPr>
              <w:jc w:val="center"/>
            </w:pPr>
            <w:r>
              <w:t>Annual Report on Work of the State Audit Institution for 2010</w:t>
            </w:r>
          </w:p>
          <w:p w:rsidR="007C5535" w:rsidRDefault="007C5535" w:rsidP="007C5535">
            <w:pPr>
              <w:jc w:val="center"/>
            </w:pPr>
          </w:p>
          <w:p w:rsidR="007C5535" w:rsidRDefault="007C5535" w:rsidP="007C5535">
            <w:pPr>
              <w:pStyle w:val="ListParagraph"/>
              <w:numPr>
                <w:ilvl w:val="0"/>
                <w:numId w:val="5"/>
              </w:numPr>
            </w:pPr>
            <w:r>
              <w:t xml:space="preserve">Annual Report on Work of the State Audit Institution is accepted </w:t>
            </w:r>
          </w:p>
          <w:p w:rsidR="007C5535" w:rsidRPr="003D0483" w:rsidRDefault="007C5535" w:rsidP="007C5535">
            <w:pPr>
              <w:pStyle w:val="ListParagraph"/>
              <w:numPr>
                <w:ilvl w:val="0"/>
                <w:numId w:val="5"/>
              </w:numPr>
            </w:pPr>
            <w:r>
              <w:t xml:space="preserve">This conclusion will be published in </w:t>
            </w:r>
            <w:r w:rsidR="00C2119F">
              <w:t xml:space="preserve">the </w:t>
            </w:r>
            <w:r>
              <w:t>“Official Gazette of the Republic of Serbia”</w:t>
            </w:r>
          </w:p>
        </w:tc>
      </w:tr>
      <w:tr w:rsidR="00186C4E" w:rsidRPr="003D0483" w:rsidTr="0073722D">
        <w:tc>
          <w:tcPr>
            <w:tcW w:w="6771" w:type="dxa"/>
          </w:tcPr>
          <w:p w:rsidR="00186C4E" w:rsidRPr="00043B38" w:rsidRDefault="00AA05CB" w:rsidP="00AA05CB">
            <w:pPr>
              <w:rPr>
                <w:b/>
              </w:rPr>
            </w:pPr>
            <w:r>
              <w:rPr>
                <w:b/>
              </w:rPr>
              <w:t>Anticorruption Agency</w:t>
            </w:r>
          </w:p>
        </w:tc>
        <w:tc>
          <w:tcPr>
            <w:tcW w:w="6405" w:type="dxa"/>
          </w:tcPr>
          <w:p w:rsidR="00186C4E" w:rsidRPr="003D0483" w:rsidRDefault="00AA05CB" w:rsidP="0073722D">
            <w:r>
              <w:rPr>
                <w:b/>
              </w:rPr>
              <w:t>Justice and Administration Committee</w:t>
            </w:r>
          </w:p>
        </w:tc>
      </w:tr>
      <w:tr w:rsidR="00186C4E" w:rsidRPr="003D0483" w:rsidTr="0073722D">
        <w:tc>
          <w:tcPr>
            <w:tcW w:w="6771" w:type="dxa"/>
          </w:tcPr>
          <w:p w:rsidR="00186C4E" w:rsidRPr="00FC7C5C" w:rsidRDefault="00824F6D" w:rsidP="0073722D">
            <w:pPr>
              <w:autoSpaceDE w:val="0"/>
              <w:autoSpaceDN w:val="0"/>
              <w:adjustRightInd w:val="0"/>
              <w:rPr>
                <w:rFonts w:cs="Calibri"/>
              </w:rPr>
            </w:pPr>
            <w:r>
              <w:rPr>
                <w:rFonts w:cs="Calibri"/>
              </w:rPr>
              <w:t>On the basis of experience from the first year of work</w:t>
            </w:r>
            <w:r w:rsidR="00186C4E" w:rsidRPr="00FC7C5C">
              <w:rPr>
                <w:rFonts w:cs="Calibri"/>
              </w:rPr>
              <w:t xml:space="preserve">, </w:t>
            </w:r>
            <w:r>
              <w:rPr>
                <w:rFonts w:cs="Calibri"/>
              </w:rPr>
              <w:t>following recommendations were formulated</w:t>
            </w:r>
            <w:r w:rsidR="00186C4E"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824F6D">
              <w:rPr>
                <w:rFonts w:cs="Calibri"/>
              </w:rPr>
              <w:t xml:space="preserve">Changing of provisions </w:t>
            </w:r>
            <w:r w:rsidR="005718F9">
              <w:rPr>
                <w:rFonts w:cs="Calibri"/>
              </w:rPr>
              <w:t xml:space="preserve">from other laws and regulations </w:t>
            </w:r>
            <w:r w:rsidR="00824F6D">
              <w:rPr>
                <w:rFonts w:cs="Calibri"/>
              </w:rPr>
              <w:t xml:space="preserve">that regulate </w:t>
            </w:r>
            <w:r w:rsidR="00227E91">
              <w:rPr>
                <w:rFonts w:cs="Calibri"/>
              </w:rPr>
              <w:t xml:space="preserve">public officials’ </w:t>
            </w:r>
            <w:r w:rsidR="00824F6D">
              <w:rPr>
                <w:rFonts w:cs="Calibri"/>
              </w:rPr>
              <w:t>conflict of interest</w:t>
            </w:r>
            <w:r w:rsidRPr="00FC7C5C">
              <w:rPr>
                <w:rFonts w:cs="Calibri"/>
              </w:rPr>
              <w:t xml:space="preserve">, </w:t>
            </w:r>
            <w:r w:rsidR="00824F6D">
              <w:rPr>
                <w:rFonts w:cs="Calibri"/>
              </w:rPr>
              <w:t>to be in compliance with the Law on Anticorruption Agency</w:t>
            </w:r>
            <w:r w:rsidRPr="00FC7C5C">
              <w:rPr>
                <w:rFonts w:cs="Calibri"/>
              </w:rPr>
              <w:t xml:space="preserve">, </w:t>
            </w:r>
            <w:r w:rsidR="005718F9">
              <w:rPr>
                <w:rFonts w:cs="Calibri"/>
              </w:rPr>
              <w:t>in order to</w:t>
            </w:r>
            <w:r w:rsidR="00824F6D">
              <w:rPr>
                <w:rFonts w:cs="Calibri"/>
              </w:rPr>
              <w:t xml:space="preserve"> create consistent and harmonized legal framework that regulates this area</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D72A2F">
              <w:rPr>
                <w:rFonts w:cs="Calibri"/>
              </w:rPr>
              <w:t>Adoption and implementation of the Law on Financing of Political Activities as soon as possible</w:t>
            </w:r>
            <w:r w:rsidRPr="00FC7C5C">
              <w:rPr>
                <w:rFonts w:cs="Calibri"/>
              </w:rPr>
              <w:t xml:space="preserve">, </w:t>
            </w:r>
            <w:r w:rsidR="00D72A2F">
              <w:rPr>
                <w:rFonts w:cs="Calibri"/>
              </w:rPr>
              <w:t>to control the financial report for</w:t>
            </w:r>
            <w:r>
              <w:rPr>
                <w:rFonts w:cs="Calibri"/>
              </w:rPr>
              <w:t xml:space="preserve"> 2010</w:t>
            </w:r>
            <w:r w:rsidR="00D72A2F">
              <w:rPr>
                <w:rFonts w:cs="Calibri"/>
              </w:rPr>
              <w:t xml:space="preserve"> in compliance with adopted Law</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D72A2F">
              <w:rPr>
                <w:rFonts w:cs="Calibri"/>
              </w:rPr>
              <w:t>Efficient implementation of the Law on Financing of Political Activities</w:t>
            </w:r>
            <w:r w:rsidRPr="00FC7C5C">
              <w:rPr>
                <w:rFonts w:cs="Calibri"/>
              </w:rPr>
              <w:t xml:space="preserve"> (</w:t>
            </w:r>
            <w:r w:rsidR="00D72A2F">
              <w:rPr>
                <w:rFonts w:cs="Calibri"/>
              </w:rPr>
              <w:t>after the adoption</w:t>
            </w:r>
            <w:r w:rsidRPr="00FC7C5C">
              <w:rPr>
                <w:rFonts w:cs="Calibri"/>
              </w:rPr>
              <w:t>),</w:t>
            </w:r>
            <w:r w:rsidR="00D72A2F">
              <w:rPr>
                <w:rFonts w:cs="Calibri"/>
              </w:rPr>
              <w:t xml:space="preserve"> established control mechanism</w:t>
            </w:r>
            <w:r w:rsidR="005718F9">
              <w:rPr>
                <w:rFonts w:cs="Calibri"/>
              </w:rPr>
              <w:t xml:space="preserve">s for </w:t>
            </w:r>
            <w:r w:rsidR="00D72A2F">
              <w:rPr>
                <w:rFonts w:cs="Calibri"/>
              </w:rPr>
              <w:t>regular and extraordinary financial reports of political subjects</w:t>
            </w:r>
            <w:r w:rsidRPr="00FC7C5C">
              <w:rPr>
                <w:rFonts w:cs="Calibri"/>
              </w:rPr>
              <w:t xml:space="preserve">, </w:t>
            </w:r>
            <w:r w:rsidR="00D72A2F">
              <w:rPr>
                <w:rFonts w:cs="Calibri"/>
              </w:rPr>
              <w:t xml:space="preserve">cooperation with state organs in that field and established network of external Agency’s associates for control of </w:t>
            </w:r>
            <w:r w:rsidR="005718F9">
              <w:rPr>
                <w:rFonts w:cs="Calibri"/>
              </w:rPr>
              <w:t xml:space="preserve">political subjects’ </w:t>
            </w:r>
            <w:r w:rsidR="00D72A2F">
              <w:rPr>
                <w:rFonts w:cs="Calibri"/>
              </w:rPr>
              <w:lastRenderedPageBreak/>
              <w:t>financing</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226D47">
              <w:rPr>
                <w:rFonts w:cs="Calibri"/>
              </w:rPr>
              <w:t xml:space="preserve">Demand responsibility </w:t>
            </w:r>
            <w:r w:rsidR="005718F9">
              <w:rPr>
                <w:rFonts w:cs="Calibri"/>
              </w:rPr>
              <w:t>of officials that govern</w:t>
            </w:r>
            <w:r w:rsidR="00226D47">
              <w:rPr>
                <w:rFonts w:cs="Calibri"/>
              </w:rPr>
              <w:t xml:space="preserve"> state organs</w:t>
            </w:r>
            <w:r w:rsidR="005718F9">
              <w:rPr>
                <w:rFonts w:cs="Calibri"/>
              </w:rPr>
              <w:t>, who</w:t>
            </w:r>
            <w:r w:rsidR="00226D47">
              <w:rPr>
                <w:rFonts w:cs="Calibri"/>
              </w:rPr>
              <w:t xml:space="preserve"> decided on civil rights and obligations</w:t>
            </w:r>
            <w:r w:rsidRPr="00FC7C5C">
              <w:rPr>
                <w:rFonts w:cs="Calibri"/>
              </w:rPr>
              <w:t xml:space="preserve">, </w:t>
            </w:r>
            <w:r w:rsidR="00226D47">
              <w:rPr>
                <w:rFonts w:cs="Calibri"/>
              </w:rPr>
              <w:t>for efficient and legal behavior in their resolving</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226D47">
              <w:rPr>
                <w:rFonts w:cs="Calibri"/>
              </w:rPr>
              <w:t xml:space="preserve">Insist on obligation of state organs to update regularly the Agency on taking public office and termination of </w:t>
            </w:r>
            <w:r w:rsidR="005718F9">
              <w:rPr>
                <w:rFonts w:cs="Calibri"/>
              </w:rPr>
              <w:t>duty</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226D47">
              <w:rPr>
                <w:rFonts w:cs="Calibri"/>
              </w:rPr>
              <w:t xml:space="preserve">All </w:t>
            </w:r>
            <w:r w:rsidR="00984C1C">
              <w:rPr>
                <w:rFonts w:cs="Calibri"/>
              </w:rPr>
              <w:t xml:space="preserve">holders of public authorizations </w:t>
            </w:r>
            <w:r w:rsidR="005718F9">
              <w:rPr>
                <w:rFonts w:cs="Calibri"/>
              </w:rPr>
              <w:t>should appoint</w:t>
            </w:r>
            <w:r w:rsidR="00984C1C">
              <w:rPr>
                <w:rFonts w:cs="Calibri"/>
              </w:rPr>
              <w:t xml:space="preserve"> person that will be in charge of jobs related to cooperation with Anticorruption Agency</w:t>
            </w:r>
            <w:r w:rsidRPr="00FC7C5C">
              <w:rPr>
                <w:rFonts w:cs="Calibri"/>
              </w:rPr>
              <w:t xml:space="preserve"> (</w:t>
            </w:r>
            <w:r w:rsidR="00984C1C">
              <w:rPr>
                <w:rFonts w:cs="Calibri"/>
              </w:rPr>
              <w:t>and other independent bodies whose jurisdiction is directly or indirectly related to preventing corruption and strengthening integrity of institution</w:t>
            </w:r>
            <w:r w:rsidR="005718F9">
              <w:rPr>
                <w:rFonts w:cs="Calibri"/>
              </w:rPr>
              <w:t>s</w:t>
            </w:r>
            <w:r w:rsidR="00984C1C">
              <w:rPr>
                <w:rFonts w:cs="Calibri"/>
              </w:rPr>
              <w:t xml:space="preserve"> with public authorizations</w:t>
            </w:r>
            <w:r w:rsidRPr="00FC7C5C">
              <w:rPr>
                <w:rFonts w:cs="Calibri"/>
              </w:rPr>
              <w:t xml:space="preserve">); </w:t>
            </w:r>
            <w:r w:rsidR="00984C1C">
              <w:rPr>
                <w:rFonts w:cs="Calibri"/>
              </w:rPr>
              <w:t>these jobs would be related</w:t>
            </w:r>
            <w:r w:rsidRPr="00FC7C5C">
              <w:rPr>
                <w:rFonts w:cs="Calibri"/>
              </w:rPr>
              <w:t xml:space="preserve">, </w:t>
            </w:r>
            <w:r w:rsidR="00984C1C">
              <w:rPr>
                <w:rFonts w:cs="Calibri"/>
              </w:rPr>
              <w:t>regarding the Agency</w:t>
            </w:r>
            <w:r w:rsidRPr="00FC7C5C">
              <w:rPr>
                <w:rFonts w:cs="Calibri"/>
              </w:rPr>
              <w:t xml:space="preserve">, </w:t>
            </w:r>
            <w:r w:rsidR="008314DA">
              <w:rPr>
                <w:rFonts w:cs="Calibri"/>
              </w:rPr>
              <w:t>to implementation of Action Plan for National Anticorruption Strategy</w:t>
            </w:r>
            <w:r w:rsidRPr="00FC7C5C">
              <w:rPr>
                <w:rFonts w:cs="Calibri"/>
              </w:rPr>
              <w:t xml:space="preserve">, </w:t>
            </w:r>
            <w:r w:rsidR="008314DA">
              <w:rPr>
                <w:rFonts w:cs="Calibri"/>
              </w:rPr>
              <w:t>creating and implementation of integrity plans and organization of training</w:t>
            </w:r>
            <w:r w:rsidR="005718F9">
              <w:rPr>
                <w:rFonts w:cs="Calibri"/>
              </w:rPr>
              <w:t>s</w:t>
            </w:r>
            <w:r w:rsidR="008314DA">
              <w:rPr>
                <w:rFonts w:cs="Calibri"/>
              </w:rPr>
              <w:t xml:space="preserve"> for employees</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8314DA">
              <w:rPr>
                <w:rFonts w:cs="Calibri"/>
              </w:rPr>
              <w:t>All holders of public authorizations sho</w:t>
            </w:r>
            <w:r w:rsidR="005718F9">
              <w:rPr>
                <w:rFonts w:cs="Calibri"/>
              </w:rPr>
              <w:t>uld have obligatory trainings for</w:t>
            </w:r>
            <w:r w:rsidR="008314DA">
              <w:rPr>
                <w:rFonts w:cs="Calibri"/>
              </w:rPr>
              <w:t xml:space="preserve"> all employees</w:t>
            </w:r>
            <w:r w:rsidRPr="00FC7C5C">
              <w:rPr>
                <w:rFonts w:cs="Calibri"/>
              </w:rPr>
              <w:t xml:space="preserve"> (</w:t>
            </w:r>
            <w:r w:rsidR="008314DA">
              <w:rPr>
                <w:rFonts w:cs="Calibri"/>
              </w:rPr>
              <w:t>officials and executives</w:t>
            </w:r>
            <w:r w:rsidRPr="00FC7C5C">
              <w:rPr>
                <w:rFonts w:cs="Calibri"/>
              </w:rPr>
              <w:t xml:space="preserve">) </w:t>
            </w:r>
            <w:r w:rsidR="005718F9">
              <w:rPr>
                <w:rFonts w:cs="Calibri"/>
              </w:rPr>
              <w:t>in</w:t>
            </w:r>
            <w:r w:rsidR="008314DA">
              <w:rPr>
                <w:rFonts w:cs="Calibri"/>
              </w:rPr>
              <w:t xml:space="preserve"> ethics</w:t>
            </w:r>
            <w:r w:rsidRPr="00FC7C5C">
              <w:rPr>
                <w:rFonts w:cs="Calibri"/>
              </w:rPr>
              <w:t xml:space="preserve">, </w:t>
            </w:r>
            <w:r w:rsidR="008314DA">
              <w:rPr>
                <w:rFonts w:cs="Calibri"/>
              </w:rPr>
              <w:t>corruption</w:t>
            </w:r>
            <w:r w:rsidR="005718F9">
              <w:rPr>
                <w:rFonts w:cs="Calibri"/>
              </w:rPr>
              <w:t xml:space="preserve"> prevention</w:t>
            </w:r>
            <w:r w:rsidRPr="00FC7C5C">
              <w:rPr>
                <w:rFonts w:cs="Calibri"/>
              </w:rPr>
              <w:t>,</w:t>
            </w:r>
            <w:r>
              <w:rPr>
                <w:rFonts w:cs="Calibri"/>
              </w:rPr>
              <w:t xml:space="preserve"> </w:t>
            </w:r>
            <w:r w:rsidR="008314DA">
              <w:rPr>
                <w:rFonts w:cs="Calibri"/>
              </w:rPr>
              <w:t xml:space="preserve">strengthening </w:t>
            </w:r>
            <w:r w:rsidR="005718F9">
              <w:rPr>
                <w:rFonts w:cs="Calibri"/>
              </w:rPr>
              <w:t>o</w:t>
            </w:r>
            <w:r w:rsidR="008314DA">
              <w:rPr>
                <w:rFonts w:cs="Calibri"/>
              </w:rPr>
              <w:t>f integrity and public responsibility of employees and institutions</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8314DA">
              <w:rPr>
                <w:rFonts w:cs="Calibri"/>
              </w:rPr>
              <w:t xml:space="preserve">Establish and implement mechanism of transparent and responsible awarding of </w:t>
            </w:r>
            <w:r w:rsidR="00850CCA">
              <w:rPr>
                <w:rFonts w:cs="Calibri"/>
              </w:rPr>
              <w:t xml:space="preserve">budget assets to organizations of civil society and administrate matter of </w:t>
            </w:r>
            <w:r w:rsidR="00C2119F">
              <w:rPr>
                <w:rFonts w:cs="Calibri"/>
              </w:rPr>
              <w:t>media property in transparent way</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850CCA">
              <w:rPr>
                <w:rFonts w:cs="Calibri"/>
              </w:rPr>
              <w:t>Undertake measures that state organs</w:t>
            </w:r>
            <w:r w:rsidRPr="00FC7C5C">
              <w:rPr>
                <w:rFonts w:cs="Calibri"/>
              </w:rPr>
              <w:t xml:space="preserve">, </w:t>
            </w:r>
            <w:r w:rsidR="00850CCA">
              <w:rPr>
                <w:rFonts w:cs="Calibri"/>
              </w:rPr>
              <w:t>who decide on civil rights and obligations</w:t>
            </w:r>
            <w:r w:rsidRPr="00FC7C5C">
              <w:rPr>
                <w:rFonts w:cs="Calibri"/>
              </w:rPr>
              <w:t>,</w:t>
            </w:r>
            <w:r>
              <w:rPr>
                <w:rFonts w:cs="Calibri"/>
              </w:rPr>
              <w:t xml:space="preserve"> </w:t>
            </w:r>
            <w:r w:rsidR="00C2119F">
              <w:rPr>
                <w:rFonts w:cs="Calibri"/>
              </w:rPr>
              <w:t xml:space="preserve">should </w:t>
            </w:r>
            <w:r w:rsidR="00850CCA">
              <w:rPr>
                <w:rFonts w:cs="Calibri"/>
              </w:rPr>
              <w:t>resolve these requests in legally prescribed deadline</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850CCA">
              <w:rPr>
                <w:rFonts w:cs="Calibri"/>
              </w:rPr>
              <w:t xml:space="preserve">Establishing of information relation and faster exchange of </w:t>
            </w:r>
            <w:r w:rsidR="00850CCA">
              <w:rPr>
                <w:rFonts w:cs="Calibri"/>
              </w:rPr>
              <w:lastRenderedPageBreak/>
              <w:t xml:space="preserve">information between the Agency </w:t>
            </w:r>
            <w:r w:rsidR="0095706D">
              <w:rPr>
                <w:rFonts w:cs="Calibri"/>
              </w:rPr>
              <w:t>and cooperating organs</w:t>
            </w:r>
            <w:r w:rsidRPr="00FC7C5C">
              <w:rPr>
                <w:rFonts w:cs="Calibri"/>
              </w:rPr>
              <w:t xml:space="preserve">, </w:t>
            </w:r>
            <w:r w:rsidR="0095706D">
              <w:rPr>
                <w:rFonts w:cs="Calibri"/>
              </w:rPr>
              <w:t>with respect and implem</w:t>
            </w:r>
            <w:r w:rsidR="00C2119F">
              <w:rPr>
                <w:rFonts w:cs="Calibri"/>
              </w:rPr>
              <w:t>entation of secrecy principle for</w:t>
            </w:r>
            <w:r w:rsidR="0095706D">
              <w:rPr>
                <w:rFonts w:cs="Calibri"/>
              </w:rPr>
              <w:t xml:space="preserve"> certain </w:t>
            </w:r>
            <w:r w:rsidR="00C2119F">
              <w:rPr>
                <w:rFonts w:cs="Calibri"/>
              </w:rPr>
              <w:t xml:space="preserve">working </w:t>
            </w:r>
            <w:r w:rsidR="0095706D">
              <w:rPr>
                <w:rFonts w:cs="Calibri"/>
              </w:rPr>
              <w:t>documents</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95706D">
              <w:rPr>
                <w:rFonts w:cs="Calibri"/>
              </w:rPr>
              <w:t xml:space="preserve">creating preconditions for development of institutional methods of </w:t>
            </w:r>
            <w:r w:rsidR="00C2119F">
              <w:rPr>
                <w:rFonts w:cs="Calibri"/>
              </w:rPr>
              <w:t xml:space="preserve">data </w:t>
            </w:r>
            <w:r w:rsidR="0095706D">
              <w:rPr>
                <w:rFonts w:cs="Calibri"/>
              </w:rPr>
              <w:t xml:space="preserve">control and </w:t>
            </w:r>
            <w:r w:rsidR="00C2119F">
              <w:rPr>
                <w:rFonts w:cs="Calibri"/>
              </w:rPr>
              <w:t>v</w:t>
            </w:r>
            <w:r w:rsidR="0095706D">
              <w:rPr>
                <w:rFonts w:cs="Calibri"/>
              </w:rPr>
              <w:t>erification through report</w:t>
            </w:r>
            <w:r w:rsidR="00C2119F">
              <w:rPr>
                <w:rFonts w:cs="Calibri"/>
              </w:rPr>
              <w:t>s</w:t>
            </w:r>
            <w:r w:rsidR="0095706D">
              <w:rPr>
                <w:rFonts w:cs="Calibri"/>
              </w:rPr>
              <w:t xml:space="preserve"> on officials’ property</w:t>
            </w:r>
            <w:r w:rsidRPr="00FC7C5C">
              <w:rPr>
                <w:rFonts w:cs="Calibri"/>
              </w:rPr>
              <w:t>;</w:t>
            </w:r>
          </w:p>
          <w:p w:rsidR="00186C4E" w:rsidRPr="00FC7C5C" w:rsidRDefault="00186C4E" w:rsidP="0073722D">
            <w:pPr>
              <w:autoSpaceDE w:val="0"/>
              <w:autoSpaceDN w:val="0"/>
              <w:adjustRightInd w:val="0"/>
              <w:rPr>
                <w:rFonts w:cs="Calibri"/>
              </w:rPr>
            </w:pPr>
            <w:r w:rsidRPr="00FC7C5C">
              <w:rPr>
                <w:rFonts w:cs="Calibri"/>
              </w:rPr>
              <w:t xml:space="preserve">• </w:t>
            </w:r>
            <w:r w:rsidR="0095706D">
              <w:rPr>
                <w:rFonts w:cs="Calibri"/>
              </w:rPr>
              <w:t>changing provision of the Law on Anticorruption Agency</w:t>
            </w:r>
            <w:r w:rsidRPr="00FC7C5C">
              <w:rPr>
                <w:rFonts w:cs="Calibri"/>
              </w:rPr>
              <w:t xml:space="preserve">, </w:t>
            </w:r>
            <w:r w:rsidR="0095706D">
              <w:rPr>
                <w:rFonts w:cs="Calibri"/>
              </w:rPr>
              <w:t>that regulates status of employees on the basis of Law on Civil Servants</w:t>
            </w:r>
            <w:r w:rsidRPr="00FC7C5C">
              <w:rPr>
                <w:rFonts w:cs="Calibri"/>
              </w:rPr>
              <w:t xml:space="preserve">, </w:t>
            </w:r>
            <w:r w:rsidR="0095706D">
              <w:rPr>
                <w:rFonts w:cs="Calibri"/>
              </w:rPr>
              <w:t>which is necessary for attracting and maintaining of quality personnel that possess necessary skills and knowledge significant for specific competence of Agency’s work</w:t>
            </w:r>
            <w:r w:rsidRPr="00FC7C5C">
              <w:rPr>
                <w:rFonts w:cs="Calibri"/>
              </w:rPr>
              <w:t>;</w:t>
            </w:r>
          </w:p>
          <w:p w:rsidR="00186C4E" w:rsidRPr="00F15850" w:rsidRDefault="00186C4E" w:rsidP="007C5535">
            <w:pPr>
              <w:autoSpaceDE w:val="0"/>
              <w:autoSpaceDN w:val="0"/>
              <w:adjustRightInd w:val="0"/>
              <w:rPr>
                <w:rFonts w:cs="Calibri"/>
              </w:rPr>
            </w:pPr>
            <w:r w:rsidRPr="00FC7C5C">
              <w:rPr>
                <w:rFonts w:cs="Calibri"/>
              </w:rPr>
              <w:t xml:space="preserve">• </w:t>
            </w:r>
            <w:r w:rsidR="0095706D">
              <w:rPr>
                <w:rFonts w:cs="Calibri"/>
              </w:rPr>
              <w:t>providing of adequate office space</w:t>
            </w:r>
            <w:r w:rsidRPr="00FC7C5C">
              <w:rPr>
                <w:rFonts w:cs="Calibri"/>
              </w:rPr>
              <w:t xml:space="preserve">, </w:t>
            </w:r>
            <w:r w:rsidR="0095706D">
              <w:rPr>
                <w:rFonts w:cs="Calibri"/>
              </w:rPr>
              <w:t xml:space="preserve">with </w:t>
            </w:r>
            <w:r w:rsidR="007C5535">
              <w:rPr>
                <w:rFonts w:cs="Calibri"/>
              </w:rPr>
              <w:t>appropriate infrastructure</w:t>
            </w:r>
            <w:r w:rsidRPr="00FC7C5C">
              <w:rPr>
                <w:rFonts w:cs="Calibri"/>
              </w:rPr>
              <w:t xml:space="preserve">, </w:t>
            </w:r>
            <w:r w:rsidR="007C5535">
              <w:rPr>
                <w:rFonts w:cs="Calibri"/>
              </w:rPr>
              <w:t>necessary for efficient functioning of the Agency</w:t>
            </w:r>
            <w:r w:rsidRPr="00FC7C5C">
              <w:rPr>
                <w:rFonts w:cs="Calibri"/>
              </w:rPr>
              <w:t>.</w:t>
            </w:r>
          </w:p>
        </w:tc>
        <w:tc>
          <w:tcPr>
            <w:tcW w:w="6405" w:type="dxa"/>
          </w:tcPr>
          <w:p w:rsidR="00186C4E" w:rsidRDefault="00186C4E" w:rsidP="0073722D"/>
          <w:p w:rsidR="00186C4E" w:rsidRDefault="00C2119F" w:rsidP="0073722D">
            <w:pPr>
              <w:jc w:val="both"/>
            </w:pPr>
            <w:r>
              <w:t>A</w:t>
            </w:r>
            <w:r w:rsidR="00AA05CB">
              <w:t xml:space="preserve">t the sitting organized on </w:t>
            </w:r>
            <w:r w:rsidR="00186C4E">
              <w:t>21</w:t>
            </w:r>
            <w:r w:rsidR="00AA05CB">
              <w:t xml:space="preserve"> June</w:t>
            </w:r>
            <w:r w:rsidR="00186C4E">
              <w:t xml:space="preserve">, </w:t>
            </w:r>
            <w:r>
              <w:t xml:space="preserve">Justice and Administration Committee, </w:t>
            </w:r>
            <w:r w:rsidR="00AA05CB">
              <w:t>considered Annual Report on Work of Anticorruption Agency for</w:t>
            </w:r>
            <w:r w:rsidR="00186C4E">
              <w:t xml:space="preserve"> 2010, </w:t>
            </w:r>
            <w:r>
              <w:t>regular Annual R</w:t>
            </w:r>
            <w:r w:rsidR="00AA05CB">
              <w:t xml:space="preserve">eport of Commissioner for Protection of Equality and Report on Implementation of the Law on Free Access to Information </w:t>
            </w:r>
            <w:r w:rsidR="008F1903">
              <w:t>of Public Importance and Law on Protection of Personal Data for</w:t>
            </w:r>
            <w:r w:rsidR="00186C4E">
              <w:t xml:space="preserve"> 2010.</w:t>
            </w:r>
          </w:p>
          <w:p w:rsidR="00186C4E" w:rsidRPr="0017602F" w:rsidRDefault="00186C4E" w:rsidP="0073722D">
            <w:pPr>
              <w:jc w:val="both"/>
            </w:pPr>
          </w:p>
          <w:p w:rsidR="00186C4E" w:rsidRPr="00FC7C5C" w:rsidRDefault="008F1903" w:rsidP="00C2119F">
            <w:pPr>
              <w:jc w:val="both"/>
            </w:pPr>
            <w:r>
              <w:t xml:space="preserve">Cooperation of National Assembly with independent regulatory bodies in previous year was </w:t>
            </w:r>
            <w:r w:rsidR="00D47FE4">
              <w:t xml:space="preserve">assessed in the discussion </w:t>
            </w:r>
            <w:r w:rsidR="00C2119F">
              <w:t xml:space="preserve">as appropriate </w:t>
            </w:r>
            <w:r w:rsidR="00D47FE4">
              <w:t>and that in the period to come priority will be further improving of that cooperation</w:t>
            </w:r>
            <w:r w:rsidR="00186C4E">
              <w:t xml:space="preserve">. </w:t>
            </w:r>
            <w:r w:rsidR="00D47FE4">
              <w:t>Committee received these reports</w:t>
            </w:r>
            <w:r w:rsidR="00186C4E">
              <w:t xml:space="preserve">, </w:t>
            </w:r>
            <w:r w:rsidR="00D47FE4">
              <w:t>with conclusions and recommendations</w:t>
            </w:r>
            <w:r w:rsidR="00186C4E">
              <w:t xml:space="preserve">, </w:t>
            </w:r>
            <w:r w:rsidR="00D47FE4">
              <w:t xml:space="preserve">and </w:t>
            </w:r>
            <w:r w:rsidR="00D47FE4">
              <w:lastRenderedPageBreak/>
              <w:t>national Assembly will declare on it in one of the following sittings</w:t>
            </w:r>
            <w:r w:rsidR="00186C4E">
              <w:t>.</w:t>
            </w:r>
          </w:p>
        </w:tc>
      </w:tr>
    </w:tbl>
    <w:p w:rsidR="00186C4E" w:rsidRDefault="00186C4E" w:rsidP="00186C4E"/>
    <w:p w:rsidR="0036575A" w:rsidRDefault="0036575A"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Default="007C5535" w:rsidP="0036575A">
      <w:pPr>
        <w:ind w:left="1440" w:right="-99"/>
        <w:jc w:val="both"/>
      </w:pPr>
    </w:p>
    <w:p w:rsidR="007C5535" w:rsidRPr="007C5535" w:rsidRDefault="007C5535" w:rsidP="007C5535">
      <w:pPr>
        <w:ind w:left="1440" w:right="-99"/>
        <w:jc w:val="center"/>
        <w:rPr>
          <w:i/>
        </w:rPr>
      </w:pPr>
      <w:r w:rsidRPr="007C5535">
        <w:rPr>
          <w:i/>
        </w:rPr>
        <w:t>This is not an official translation</w:t>
      </w:r>
    </w:p>
    <w:sectPr w:rsidR="007C5535" w:rsidRPr="007C5535" w:rsidSect="000B41F3">
      <w:headerReference w:type="default" r:id="rId7"/>
      <w:footerReference w:type="default" r:id="rId8"/>
      <w:pgSz w:w="15840" w:h="12240" w:orient="landscape"/>
      <w:pgMar w:top="1800" w:right="1440" w:bottom="1800" w:left="1440"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45" w:rsidRDefault="00BC0745">
      <w:r>
        <w:separator/>
      </w:r>
    </w:p>
  </w:endnote>
  <w:endnote w:type="continuationSeparator" w:id="1">
    <w:p w:rsidR="00BC0745" w:rsidRDefault="00BC0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B42AB4" w:rsidRPr="00D603E3" w:rsidRDefault="00B42AB4" w:rsidP="00B42AB4">
    <w:pPr>
      <w:pStyle w:val="Footer"/>
      <w:ind w:right="360" w:firstLine="360"/>
      <w:jc w:val="center"/>
      <w:rPr>
        <w:rFonts w:ascii="Tahoma" w:hAnsi="Tahoma" w:cs="Tahoma"/>
        <w:sz w:val="16"/>
        <w:szCs w:val="16"/>
        <w:lang w:val="sr-Latn-CS"/>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 xml:space="preserve">је </w:t>
    </w:r>
    <w:r>
      <w:rPr>
        <w:rFonts w:ascii="Tahoma" w:hAnsi="Tahoma" w:cs="Tahoma"/>
        <w:sz w:val="16"/>
        <w:szCs w:val="16"/>
      </w:rPr>
      <w:t>пуноправни</w:t>
    </w:r>
    <w:r w:rsidRPr="00D603E3">
      <w:rPr>
        <w:rFonts w:ascii="Tahoma" w:hAnsi="Tahoma" w:cs="Tahoma"/>
        <w:sz w:val="16"/>
        <w:szCs w:val="16"/>
        <w:lang w:val="sr-Latn-CS"/>
      </w:rPr>
      <w:t xml:space="preserve"> </w:t>
    </w:r>
    <w:r>
      <w:rPr>
        <w:rFonts w:ascii="Tahoma" w:hAnsi="Tahoma" w:cs="Tahoma"/>
        <w:sz w:val="16"/>
        <w:szCs w:val="16"/>
      </w:rPr>
      <w:t>члан</w:t>
    </w:r>
    <w:r w:rsidRPr="00D603E3">
      <w:rPr>
        <w:rFonts w:ascii="Tahoma" w:hAnsi="Tahoma" w:cs="Tahoma"/>
        <w:sz w:val="16"/>
        <w:szCs w:val="16"/>
        <w:lang w:val="sr-Latn-CS"/>
      </w:rPr>
      <w:t xml:space="preserve"> </w:t>
    </w:r>
    <w:r>
      <w:rPr>
        <w:rFonts w:ascii="Tahoma" w:hAnsi="Tahoma" w:cs="Tahoma"/>
        <w:sz w:val="16"/>
        <w:szCs w:val="16"/>
      </w:rPr>
      <w:t>глобалне</w:t>
    </w:r>
    <w:r w:rsidRPr="00D603E3">
      <w:rPr>
        <w:rFonts w:ascii="Tahoma" w:hAnsi="Tahoma" w:cs="Tahoma"/>
        <w:sz w:val="16"/>
        <w:szCs w:val="16"/>
        <w:lang w:val="sr-Latn-CS"/>
      </w:rPr>
      <w:t xml:space="preserve"> </w:t>
    </w:r>
    <w:r>
      <w:rPr>
        <w:rFonts w:ascii="Tahoma" w:hAnsi="Tahoma" w:cs="Tahoma"/>
        <w:sz w:val="16"/>
        <w:szCs w:val="16"/>
      </w:rPr>
      <w:t>мреже</w:t>
    </w:r>
    <w:r w:rsidRPr="00D603E3">
      <w:rPr>
        <w:rFonts w:ascii="Tahoma" w:hAnsi="Tahoma" w:cs="Tahoma"/>
        <w:sz w:val="16"/>
        <w:szCs w:val="16"/>
        <w:lang w:val="sr-Latn-CS"/>
      </w:rPr>
      <w:t xml:space="preserve"> </w:t>
    </w:r>
    <w:r w:rsidRPr="005A4E20">
      <w:rPr>
        <w:rFonts w:ascii="Tahoma" w:hAnsi="Tahoma" w:cs="Tahoma"/>
        <w:sz w:val="16"/>
        <w:szCs w:val="16"/>
        <w:lang w:val="sl-SI"/>
      </w:rPr>
      <w:t xml:space="preserve">TRANSPARENCY INTERNATIONAL </w:t>
    </w:r>
    <w:r>
      <w:rPr>
        <w:rFonts w:ascii="Tahoma" w:hAnsi="Tahoma" w:cs="Tahoma"/>
        <w:sz w:val="16"/>
        <w:szCs w:val="16"/>
      </w:rPr>
      <w:t>и</w:t>
    </w:r>
    <w:r w:rsidRPr="00D603E3">
      <w:rPr>
        <w:rFonts w:ascii="Tahoma" w:hAnsi="Tahoma" w:cs="Tahoma"/>
        <w:sz w:val="16"/>
        <w:szCs w:val="16"/>
        <w:lang w:val="sr-Latn-CS"/>
      </w:rPr>
      <w:t xml:space="preserve"> </w:t>
    </w:r>
    <w:r>
      <w:rPr>
        <w:rFonts w:ascii="Tahoma" w:hAnsi="Tahoma" w:cs="Tahoma"/>
        <w:sz w:val="16"/>
        <w:szCs w:val="16"/>
      </w:rPr>
      <w:t>њен</w:t>
    </w:r>
    <w:r w:rsidRPr="00D603E3">
      <w:rPr>
        <w:rFonts w:ascii="Tahoma" w:hAnsi="Tahoma" w:cs="Tahoma"/>
        <w:sz w:val="16"/>
        <w:szCs w:val="16"/>
        <w:lang w:val="sr-Latn-CS"/>
      </w:rPr>
      <w:t xml:space="preserve"> </w:t>
    </w:r>
    <w:r>
      <w:rPr>
        <w:rFonts w:ascii="Tahoma" w:hAnsi="Tahoma" w:cs="Tahoma"/>
        <w:sz w:val="16"/>
        <w:szCs w:val="16"/>
      </w:rPr>
      <w:t>акредитовани</w:t>
    </w:r>
    <w:r w:rsidRPr="00D603E3">
      <w:rPr>
        <w:rFonts w:ascii="Tahoma" w:hAnsi="Tahoma" w:cs="Tahoma"/>
        <w:sz w:val="16"/>
        <w:szCs w:val="16"/>
        <w:lang w:val="sr-Latn-CS"/>
      </w:rPr>
      <w:t xml:space="preserve"> </w:t>
    </w:r>
    <w:r>
      <w:rPr>
        <w:rFonts w:ascii="Tahoma" w:hAnsi="Tahoma" w:cs="Tahoma"/>
        <w:sz w:val="16"/>
        <w:szCs w:val="16"/>
      </w:rPr>
      <w:t>представник</w:t>
    </w:r>
    <w:r w:rsidRPr="00D603E3">
      <w:rPr>
        <w:rFonts w:ascii="Tahoma" w:hAnsi="Tahoma" w:cs="Tahoma"/>
        <w:sz w:val="16"/>
        <w:szCs w:val="16"/>
        <w:lang w:val="sr-Latn-CS"/>
      </w:rPr>
      <w:t xml:space="preserve"> </w:t>
    </w:r>
    <w:r>
      <w:rPr>
        <w:rFonts w:ascii="Tahoma" w:hAnsi="Tahoma" w:cs="Tahoma"/>
        <w:sz w:val="16"/>
        <w:szCs w:val="16"/>
        <w:lang w:val="sl-SI"/>
      </w:rPr>
      <w:t>у Републици Србији</w:t>
    </w:r>
    <w:r w:rsidRPr="00D603E3">
      <w:rPr>
        <w:rFonts w:ascii="Tahoma" w:hAnsi="Tahoma" w:cs="Tahoma"/>
        <w:sz w:val="16"/>
        <w:szCs w:val="16"/>
        <w:lang w:val="sr-Latn-CS"/>
      </w:rPr>
      <w:t xml:space="preserve"> </w:t>
    </w:r>
  </w:p>
  <w:p w:rsidR="005A4E20" w:rsidRPr="00D603E3" w:rsidRDefault="005A4E20" w:rsidP="00B42AB4">
    <w:pPr>
      <w:pStyle w:val="Footer"/>
      <w:ind w:right="360" w:firstLine="360"/>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45" w:rsidRDefault="00BC0745">
      <w:r>
        <w:separator/>
      </w:r>
    </w:p>
  </w:footnote>
  <w:footnote w:type="continuationSeparator" w:id="1">
    <w:p w:rsidR="00BC0745" w:rsidRDefault="00BC0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260884" w:rsidP="005A4E20">
    <w:pPr>
      <w:pStyle w:val="Header"/>
      <w:ind w:left="1440"/>
      <w:rPr>
        <w:rFonts w:ascii="Arial" w:hAnsi="Arial" w:cs="Arial"/>
        <w:b/>
        <w:iCs/>
        <w:caps/>
        <w:lang w:val="sr-Latn-CS"/>
      </w:rPr>
    </w:pPr>
    <w:r w:rsidRPr="00260884">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77.55pt;z-index:251658240" filled="f" strokecolor="white" strokeweight="0">
          <v:textbox style="mso-next-textbox:#_x0000_s2052">
            <w:txbxContent>
              <w:p w:rsidR="00D603E3" w:rsidRDefault="00F658D5" w:rsidP="005A4E20">
                <w:pPr>
                  <w:ind w:left="1440"/>
                  <w:jc w:val="right"/>
                  <w:rPr>
                    <w:rFonts w:ascii="Tahoma" w:hAnsi="Tahoma" w:cs="Tahoma"/>
                    <w:sz w:val="16"/>
                    <w:szCs w:val="16"/>
                    <w:lang w:val="sr-Cyrl-CS"/>
                  </w:rPr>
                </w:pPr>
                <w:r>
                  <w:rPr>
                    <w:rFonts w:ascii="Tahoma" w:hAnsi="Tahoma" w:cs="Tahoma"/>
                    <w:sz w:val="16"/>
                    <w:szCs w:val="16"/>
                    <w:lang w:val="sr-Latn-CS"/>
                  </w:rPr>
                  <w:t>Адреса</w:t>
                </w:r>
                <w:r w:rsidR="00D603E3">
                  <w:rPr>
                    <w:rFonts w:ascii="Tahoma" w:hAnsi="Tahoma" w:cs="Tahoma"/>
                    <w:sz w:val="16"/>
                    <w:szCs w:val="16"/>
                    <w:lang w:val="sr-Latn-CS"/>
                  </w:rPr>
                  <w:t>:</w:t>
                </w:r>
                <w:r w:rsidR="005A4E20" w:rsidRPr="005A4E20">
                  <w:rPr>
                    <w:rFonts w:ascii="Tahoma" w:hAnsi="Tahoma" w:cs="Tahoma"/>
                    <w:sz w:val="16"/>
                    <w:szCs w:val="16"/>
                    <w:lang w:val="sr-Latn-CS"/>
                  </w:rPr>
                  <w:t xml:space="preserve"> </w:t>
                </w:r>
                <w:r w:rsidR="00B826BD">
                  <w:rPr>
                    <w:rFonts w:ascii="Tahoma" w:hAnsi="Tahoma" w:cs="Tahoma"/>
                    <w:sz w:val="16"/>
                    <w:szCs w:val="16"/>
                    <w:lang w:val="sr-Cyrl-CS"/>
                  </w:rPr>
                  <w:t xml:space="preserve">Бул. </w:t>
                </w:r>
                <w:r w:rsidR="00B826BD">
                  <w:rPr>
                    <w:rFonts w:ascii="Tahoma" w:hAnsi="Tahoma" w:cs="Tahoma"/>
                    <w:sz w:val="16"/>
                    <w:szCs w:val="16"/>
                    <w:lang w:val="sr-Latn-CS"/>
                  </w:rPr>
                  <w:t>д</w:t>
                </w:r>
                <w:r w:rsidR="00D603E3">
                  <w:rPr>
                    <w:rFonts w:ascii="Tahoma" w:hAnsi="Tahoma" w:cs="Tahoma"/>
                    <w:sz w:val="16"/>
                    <w:szCs w:val="16"/>
                    <w:lang w:val="sr-Cyrl-CS"/>
                  </w:rPr>
                  <w:t>еспота Стефана</w:t>
                </w:r>
              </w:p>
              <w:p w:rsidR="005A4E20" w:rsidRPr="005A4E20" w:rsidRDefault="00D603E3" w:rsidP="005A4E20">
                <w:pPr>
                  <w:ind w:left="1440"/>
                  <w:jc w:val="right"/>
                  <w:rPr>
                    <w:rFonts w:ascii="Tahoma" w:hAnsi="Tahoma" w:cs="Tahoma"/>
                    <w:sz w:val="16"/>
                    <w:szCs w:val="16"/>
                    <w:lang w:val="sr-Latn-CS"/>
                  </w:rPr>
                </w:pPr>
                <w:r>
                  <w:rPr>
                    <w:rFonts w:ascii="Tahoma" w:hAnsi="Tahoma" w:cs="Tahoma"/>
                    <w:sz w:val="16"/>
                    <w:szCs w:val="16"/>
                    <w:lang w:val="sr-Cyrl-CS"/>
                  </w:rPr>
                  <w:t>(</w:t>
                </w:r>
                <w:r w:rsidR="005A4E20" w:rsidRPr="005A4E20">
                  <w:rPr>
                    <w:rFonts w:ascii="Tahoma" w:hAnsi="Tahoma" w:cs="Tahoma"/>
                    <w:sz w:val="16"/>
                    <w:szCs w:val="16"/>
                    <w:lang w:val="sr-Latn-CS"/>
                  </w:rPr>
                  <w:t xml:space="preserve">29. </w:t>
                </w:r>
                <w:r w:rsidR="00F658D5">
                  <w:rPr>
                    <w:rFonts w:ascii="Tahoma" w:hAnsi="Tahoma" w:cs="Tahoma"/>
                    <w:sz w:val="16"/>
                    <w:szCs w:val="16"/>
                    <w:lang w:val="sr-Latn-CS"/>
                  </w:rPr>
                  <w:t>Новембра</w:t>
                </w:r>
                <w:r>
                  <w:rPr>
                    <w:rFonts w:ascii="Tahoma" w:hAnsi="Tahoma" w:cs="Tahoma"/>
                    <w:sz w:val="16"/>
                    <w:szCs w:val="16"/>
                    <w:lang w:val="sr-Cyrl-CS"/>
                  </w:rPr>
                  <w:t>)</w:t>
                </w:r>
                <w:r w:rsidR="005A4E20" w:rsidRPr="005A4E20">
                  <w:rPr>
                    <w:rFonts w:ascii="Tahoma" w:hAnsi="Tahoma" w:cs="Tahoma"/>
                    <w:sz w:val="16"/>
                    <w:szCs w:val="16"/>
                    <w:lang w:val="sr-Latn-CS"/>
                  </w:rPr>
                  <w:t xml:space="preserve"> 36 / I</w:t>
                </w:r>
              </w:p>
              <w:p w:rsidR="005A4E20" w:rsidRPr="005A4E20" w:rsidRDefault="00F658D5" w:rsidP="005A4E20">
                <w:pPr>
                  <w:ind w:left="1440" w:firstLine="720"/>
                  <w:jc w:val="right"/>
                  <w:rPr>
                    <w:rFonts w:ascii="Tahoma" w:hAnsi="Tahoma" w:cs="Tahoma"/>
                    <w:sz w:val="16"/>
                    <w:szCs w:val="16"/>
                    <w:lang w:val="sr-Latn-CS"/>
                  </w:rPr>
                </w:pPr>
                <w:r>
                  <w:rPr>
                    <w:rFonts w:ascii="Tahoma" w:hAnsi="Tahoma" w:cs="Tahoma"/>
                    <w:sz w:val="16"/>
                    <w:szCs w:val="16"/>
                    <w:lang w:val="sr-Latn-CS"/>
                  </w:rPr>
                  <w:t xml:space="preserve">   11000 Београд</w:t>
                </w:r>
                <w:r w:rsidR="005A4E20" w:rsidRPr="005A4E20">
                  <w:rPr>
                    <w:rFonts w:ascii="Tahoma" w:hAnsi="Tahoma" w:cs="Tahoma"/>
                    <w:sz w:val="16"/>
                    <w:szCs w:val="16"/>
                    <w:lang w:val="sr-Latn-CS"/>
                  </w:rPr>
                  <w:t xml:space="preserve">, </w:t>
                </w:r>
                <w:r>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Факс</w:t>
                </w:r>
                <w:r w:rsidR="005A4E20" w:rsidRPr="005A4E20">
                  <w:rPr>
                    <w:rFonts w:ascii="Tahoma" w:hAnsi="Tahoma" w:cs="Tahoma"/>
                    <w:sz w:val="16"/>
                    <w:szCs w:val="16"/>
                    <w:lang w:val="sr-Latn-CS"/>
                  </w:rPr>
                  <w:t>:          (+ 381 11) 322 81 96</w:t>
                </w:r>
              </w:p>
              <w:p w:rsidR="00D603E3" w:rsidRDefault="005A4E20" w:rsidP="005A4E20">
                <w:pPr>
                  <w:ind w:left="1440"/>
                  <w:jc w:val="right"/>
                  <w:rPr>
                    <w:rFonts w:ascii="Tahoma" w:hAnsi="Tahoma" w:cs="Tahoma"/>
                    <w:sz w:val="16"/>
                    <w:szCs w:val="16"/>
                    <w:lang w:val="sr-Latn-CS"/>
                  </w:rPr>
                </w:pPr>
                <w:r w:rsidRPr="005A4E20">
                  <w:rPr>
                    <w:rFonts w:ascii="Tahoma" w:hAnsi="Tahoma" w:cs="Tahoma"/>
                    <w:sz w:val="16"/>
                    <w:szCs w:val="16"/>
                    <w:lang w:val="sr-Latn-CS"/>
                  </w:rPr>
                  <w:t xml:space="preserve">e-mail: </w:t>
                </w:r>
                <w:hyperlink r:id="rId1" w:history="1">
                  <w:r w:rsidR="00D603E3" w:rsidRPr="00795852">
                    <w:rPr>
                      <w:rStyle w:val="Hyperlink"/>
                      <w:rFonts w:ascii="Tahoma" w:hAnsi="Tahoma" w:cs="Tahoma"/>
                      <w:sz w:val="16"/>
                      <w:szCs w:val="16"/>
                      <w:lang w:val="sr-Latn-CS"/>
                    </w:rPr>
                    <w:t>ts@transparentnost.org.rs</w:t>
                  </w:r>
                </w:hyperlink>
              </w:p>
              <w:p w:rsidR="00B826BD" w:rsidRPr="00B826BD" w:rsidRDefault="00260884" w:rsidP="005A4E20">
                <w:pPr>
                  <w:ind w:left="1440"/>
                  <w:jc w:val="right"/>
                  <w:rPr>
                    <w:rFonts w:ascii="Tahoma" w:hAnsi="Tahoma" w:cs="Tahoma"/>
                    <w:sz w:val="16"/>
                    <w:szCs w:val="16"/>
                    <w:lang w:val="sr-Latn-CS"/>
                  </w:rPr>
                </w:pPr>
                <w:hyperlink r:id="rId2" w:history="1">
                  <w:r w:rsidR="00B826BD" w:rsidRPr="00BE7280">
                    <w:rPr>
                      <w:rStyle w:val="Hyperlink"/>
                      <w:rFonts w:ascii="Tahoma" w:hAnsi="Tahoma" w:cs="Tahoma"/>
                      <w:sz w:val="16"/>
                      <w:szCs w:val="16"/>
                      <w:lang w:val="sr-Latn-CS"/>
                    </w:rPr>
                    <w:t>www.transparentnost.org.rs</w:t>
                  </w:r>
                </w:hyperlink>
                <w:r w:rsidR="00B826BD">
                  <w:rPr>
                    <w:rFonts w:ascii="Tahoma" w:hAnsi="Tahoma" w:cs="Tahoma"/>
                    <w:sz w:val="16"/>
                    <w:szCs w:val="16"/>
                    <w:lang w:val="sr-Latn-CS"/>
                  </w:rPr>
                  <w:t xml:space="preserve"> </w:t>
                </w:r>
              </w:p>
              <w:p w:rsidR="00D603E3" w:rsidRDefault="00D603E3" w:rsidP="005A4E20">
                <w:pPr>
                  <w:ind w:left="1440"/>
                  <w:jc w:val="right"/>
                  <w:rPr>
                    <w:rFonts w:ascii="Tahoma" w:hAnsi="Tahoma" w:cs="Tahoma"/>
                    <w:sz w:val="16"/>
                    <w:szCs w:val="16"/>
                    <w:lang w:val="sr-Cyrl-CS"/>
                  </w:rPr>
                </w:pPr>
              </w:p>
              <w:p w:rsidR="00D603E3" w:rsidRPr="00D603E3" w:rsidRDefault="00D603E3" w:rsidP="005A4E20">
                <w:pPr>
                  <w:ind w:left="1440"/>
                  <w:jc w:val="right"/>
                  <w:rPr>
                    <w:rFonts w:ascii="Tahoma" w:hAnsi="Tahoma" w:cs="Tahoma"/>
                    <w:sz w:val="16"/>
                    <w:szCs w:val="16"/>
                    <w:lang w:val="sr-Cyrl-CS"/>
                  </w:rPr>
                </w:pPr>
              </w:p>
            </w:txbxContent>
          </v:textbox>
        </v:shape>
      </w:pict>
    </w:r>
    <w:r w:rsidR="00D47FE4">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B826BD">
    <w:pPr>
      <w:pStyle w:val="Header"/>
      <w:pBdr>
        <w:bottom w:val="single" w:sz="12" w:space="29"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57BD1"/>
    <w:multiLevelType w:val="hybridMultilevel"/>
    <w:tmpl w:val="F434F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C0AE8"/>
    <w:multiLevelType w:val="hybridMultilevel"/>
    <w:tmpl w:val="F53A467A"/>
    <w:lvl w:ilvl="0" w:tplc="55F059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D2D43"/>
    <w:multiLevelType w:val="hybridMultilevel"/>
    <w:tmpl w:val="E284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539FA"/>
    <w:multiLevelType w:val="hybridMultilevel"/>
    <w:tmpl w:val="CBEA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isplayBackgroundShape/>
  <w:stylePaneFormatFilter w:val="3F01"/>
  <w:defaultTabStop w:val="720"/>
  <w:drawingGridHorizontalSpacing w:val="12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A4E20"/>
    <w:rsid w:val="00014176"/>
    <w:rsid w:val="00021344"/>
    <w:rsid w:val="00033C84"/>
    <w:rsid w:val="00043191"/>
    <w:rsid w:val="000459BF"/>
    <w:rsid w:val="00071C1F"/>
    <w:rsid w:val="000806D9"/>
    <w:rsid w:val="0009480A"/>
    <w:rsid w:val="00094829"/>
    <w:rsid w:val="000A5563"/>
    <w:rsid w:val="000B41F3"/>
    <w:rsid w:val="000C3237"/>
    <w:rsid w:val="000D5CFB"/>
    <w:rsid w:val="000E06BE"/>
    <w:rsid w:val="000F3516"/>
    <w:rsid w:val="001012CE"/>
    <w:rsid w:val="00104CA4"/>
    <w:rsid w:val="00174B43"/>
    <w:rsid w:val="001754BB"/>
    <w:rsid w:val="0017737D"/>
    <w:rsid w:val="00186C4E"/>
    <w:rsid w:val="001A336F"/>
    <w:rsid w:val="001B741E"/>
    <w:rsid w:val="001D3752"/>
    <w:rsid w:val="001E78B4"/>
    <w:rsid w:val="001F505C"/>
    <w:rsid w:val="00206150"/>
    <w:rsid w:val="00206318"/>
    <w:rsid w:val="00206DB4"/>
    <w:rsid w:val="00211656"/>
    <w:rsid w:val="00216F79"/>
    <w:rsid w:val="00220275"/>
    <w:rsid w:val="002221C8"/>
    <w:rsid w:val="00226D47"/>
    <w:rsid w:val="00227E91"/>
    <w:rsid w:val="0023605C"/>
    <w:rsid w:val="00244824"/>
    <w:rsid w:val="00246C49"/>
    <w:rsid w:val="00250666"/>
    <w:rsid w:val="00260884"/>
    <w:rsid w:val="00263676"/>
    <w:rsid w:val="00273567"/>
    <w:rsid w:val="002831ED"/>
    <w:rsid w:val="00283CB7"/>
    <w:rsid w:val="00291FD1"/>
    <w:rsid w:val="002B05EB"/>
    <w:rsid w:val="002B296E"/>
    <w:rsid w:val="002B5DD8"/>
    <w:rsid w:val="002E3400"/>
    <w:rsid w:val="002E5E29"/>
    <w:rsid w:val="002F70D8"/>
    <w:rsid w:val="00316525"/>
    <w:rsid w:val="00321827"/>
    <w:rsid w:val="003429EF"/>
    <w:rsid w:val="0036230D"/>
    <w:rsid w:val="0036575A"/>
    <w:rsid w:val="00366FAE"/>
    <w:rsid w:val="003723E3"/>
    <w:rsid w:val="00391055"/>
    <w:rsid w:val="003A4299"/>
    <w:rsid w:val="003C3BFF"/>
    <w:rsid w:val="003C5A44"/>
    <w:rsid w:val="003D3730"/>
    <w:rsid w:val="003E6150"/>
    <w:rsid w:val="003F5DA1"/>
    <w:rsid w:val="004015E6"/>
    <w:rsid w:val="004076A5"/>
    <w:rsid w:val="00442BAC"/>
    <w:rsid w:val="004709E9"/>
    <w:rsid w:val="004923A7"/>
    <w:rsid w:val="004B1843"/>
    <w:rsid w:val="004B6A19"/>
    <w:rsid w:val="00502BB8"/>
    <w:rsid w:val="00504395"/>
    <w:rsid w:val="00520AE6"/>
    <w:rsid w:val="005334CC"/>
    <w:rsid w:val="00533F70"/>
    <w:rsid w:val="0055049C"/>
    <w:rsid w:val="005627A7"/>
    <w:rsid w:val="005718F9"/>
    <w:rsid w:val="00576656"/>
    <w:rsid w:val="005A0FE6"/>
    <w:rsid w:val="005A4E20"/>
    <w:rsid w:val="005C447F"/>
    <w:rsid w:val="005D4DEC"/>
    <w:rsid w:val="005F2123"/>
    <w:rsid w:val="00600484"/>
    <w:rsid w:val="00602008"/>
    <w:rsid w:val="00621335"/>
    <w:rsid w:val="00632651"/>
    <w:rsid w:val="006333E8"/>
    <w:rsid w:val="00636BE2"/>
    <w:rsid w:val="0063797E"/>
    <w:rsid w:val="006417E2"/>
    <w:rsid w:val="006511BF"/>
    <w:rsid w:val="00664697"/>
    <w:rsid w:val="006715D6"/>
    <w:rsid w:val="006863B5"/>
    <w:rsid w:val="006C0810"/>
    <w:rsid w:val="006D1744"/>
    <w:rsid w:val="006D781C"/>
    <w:rsid w:val="006E32F2"/>
    <w:rsid w:val="006F7AC8"/>
    <w:rsid w:val="00706FDE"/>
    <w:rsid w:val="00722E45"/>
    <w:rsid w:val="00724909"/>
    <w:rsid w:val="0073722D"/>
    <w:rsid w:val="00742A35"/>
    <w:rsid w:val="00751758"/>
    <w:rsid w:val="00775FC1"/>
    <w:rsid w:val="007807F3"/>
    <w:rsid w:val="007834CB"/>
    <w:rsid w:val="007B314E"/>
    <w:rsid w:val="007C02B9"/>
    <w:rsid w:val="007C0FB2"/>
    <w:rsid w:val="007C1DA0"/>
    <w:rsid w:val="007C5535"/>
    <w:rsid w:val="007E0944"/>
    <w:rsid w:val="007E5C34"/>
    <w:rsid w:val="007F7C6E"/>
    <w:rsid w:val="00824F6D"/>
    <w:rsid w:val="008314DA"/>
    <w:rsid w:val="00850CCA"/>
    <w:rsid w:val="008572E4"/>
    <w:rsid w:val="00881A2D"/>
    <w:rsid w:val="00897A31"/>
    <w:rsid w:val="008A5977"/>
    <w:rsid w:val="008D6944"/>
    <w:rsid w:val="008E2E83"/>
    <w:rsid w:val="008E4045"/>
    <w:rsid w:val="008F1903"/>
    <w:rsid w:val="009242CF"/>
    <w:rsid w:val="00932A0B"/>
    <w:rsid w:val="009339CF"/>
    <w:rsid w:val="00933E8A"/>
    <w:rsid w:val="00937072"/>
    <w:rsid w:val="0095706D"/>
    <w:rsid w:val="00973EC2"/>
    <w:rsid w:val="00976C4B"/>
    <w:rsid w:val="00984C1C"/>
    <w:rsid w:val="009A7DB9"/>
    <w:rsid w:val="00A20FAA"/>
    <w:rsid w:val="00A47E55"/>
    <w:rsid w:val="00A61D6D"/>
    <w:rsid w:val="00A6253C"/>
    <w:rsid w:val="00A640C2"/>
    <w:rsid w:val="00A82CD4"/>
    <w:rsid w:val="00A965BB"/>
    <w:rsid w:val="00A96F3B"/>
    <w:rsid w:val="00AA05CB"/>
    <w:rsid w:val="00AA3DD6"/>
    <w:rsid w:val="00AA447C"/>
    <w:rsid w:val="00AB2094"/>
    <w:rsid w:val="00AB3EDC"/>
    <w:rsid w:val="00AB3FC2"/>
    <w:rsid w:val="00AD25BD"/>
    <w:rsid w:val="00AD78D9"/>
    <w:rsid w:val="00AF2058"/>
    <w:rsid w:val="00B065A1"/>
    <w:rsid w:val="00B11DBE"/>
    <w:rsid w:val="00B32567"/>
    <w:rsid w:val="00B33BDC"/>
    <w:rsid w:val="00B42AB4"/>
    <w:rsid w:val="00B530C0"/>
    <w:rsid w:val="00B612E0"/>
    <w:rsid w:val="00B61664"/>
    <w:rsid w:val="00B80C48"/>
    <w:rsid w:val="00B826BD"/>
    <w:rsid w:val="00B95B28"/>
    <w:rsid w:val="00B9786A"/>
    <w:rsid w:val="00BB4C35"/>
    <w:rsid w:val="00BC0745"/>
    <w:rsid w:val="00BC6B82"/>
    <w:rsid w:val="00BD5148"/>
    <w:rsid w:val="00BE4168"/>
    <w:rsid w:val="00BE47B0"/>
    <w:rsid w:val="00BF2454"/>
    <w:rsid w:val="00BF69AA"/>
    <w:rsid w:val="00C14486"/>
    <w:rsid w:val="00C2119F"/>
    <w:rsid w:val="00C4772B"/>
    <w:rsid w:val="00C949F8"/>
    <w:rsid w:val="00CA2BFB"/>
    <w:rsid w:val="00CB3A62"/>
    <w:rsid w:val="00CB409A"/>
    <w:rsid w:val="00CC59C8"/>
    <w:rsid w:val="00CD4422"/>
    <w:rsid w:val="00CE5171"/>
    <w:rsid w:val="00CF767C"/>
    <w:rsid w:val="00D161F7"/>
    <w:rsid w:val="00D45431"/>
    <w:rsid w:val="00D47FE4"/>
    <w:rsid w:val="00D57133"/>
    <w:rsid w:val="00D603E3"/>
    <w:rsid w:val="00D61746"/>
    <w:rsid w:val="00D6180E"/>
    <w:rsid w:val="00D67C45"/>
    <w:rsid w:val="00D72A2F"/>
    <w:rsid w:val="00D8622F"/>
    <w:rsid w:val="00DB3CEE"/>
    <w:rsid w:val="00DC1F8E"/>
    <w:rsid w:val="00DC773E"/>
    <w:rsid w:val="00DC7D8E"/>
    <w:rsid w:val="00DD4F16"/>
    <w:rsid w:val="00DF1335"/>
    <w:rsid w:val="00E00798"/>
    <w:rsid w:val="00E07E59"/>
    <w:rsid w:val="00E35FF4"/>
    <w:rsid w:val="00E87DA0"/>
    <w:rsid w:val="00EA54C2"/>
    <w:rsid w:val="00EB1D48"/>
    <w:rsid w:val="00EB3ED9"/>
    <w:rsid w:val="00EB4970"/>
    <w:rsid w:val="00EC5B39"/>
    <w:rsid w:val="00EF4383"/>
    <w:rsid w:val="00EF4A76"/>
    <w:rsid w:val="00F025BD"/>
    <w:rsid w:val="00F27450"/>
    <w:rsid w:val="00F27F1C"/>
    <w:rsid w:val="00F336FD"/>
    <w:rsid w:val="00F345CB"/>
    <w:rsid w:val="00F44D3B"/>
    <w:rsid w:val="00F47F06"/>
    <w:rsid w:val="00F55D8C"/>
    <w:rsid w:val="00F64277"/>
    <w:rsid w:val="00F658D5"/>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Default">
    <w:name w:val="Default"/>
    <w:rsid w:val="00186C4E"/>
    <w:pPr>
      <w:autoSpaceDE w:val="0"/>
      <w:autoSpaceDN w:val="0"/>
      <w:adjustRightInd w:val="0"/>
    </w:pPr>
    <w:rPr>
      <w:rFonts w:ascii="Book Antiqua" w:hAnsi="Book Antiqua" w:cs="Book Antiqua"/>
      <w:color w:val="000000"/>
      <w:sz w:val="24"/>
      <w:szCs w:val="24"/>
    </w:rPr>
  </w:style>
  <w:style w:type="character" w:customStyle="1" w:styleId="apple-style-span">
    <w:name w:val="apple-style-span"/>
    <w:basedOn w:val="DefaultParagraphFont"/>
    <w:rsid w:val="00442BAC"/>
  </w:style>
  <w:style w:type="paragraph" w:styleId="ListParagraph">
    <w:name w:val="List Paragraph"/>
    <w:basedOn w:val="Normal"/>
    <w:uiPriority w:val="34"/>
    <w:qFormat/>
    <w:rsid w:val="007C5535"/>
    <w:pPr>
      <w:ind w:left="720"/>
      <w:contextualSpacing/>
    </w:pPr>
  </w:style>
</w:styles>
</file>

<file path=word/webSettings.xml><?xml version="1.0" encoding="utf-8"?>
<w:webSettings xmlns:r="http://schemas.openxmlformats.org/officeDocument/2006/relationships" xmlns:w="http://schemas.openxmlformats.org/wordprocessingml/2006/main">
  <w:divs>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Transparency Serbia</Company>
  <LinksUpToDate>false</LinksUpToDate>
  <CharactersWithSpaces>9314</CharactersWithSpaces>
  <SharedDoc>false</SharedDoc>
  <HLinks>
    <vt:vector size="12" baseType="variant">
      <vt:variant>
        <vt:i4>7536700</vt:i4>
      </vt:variant>
      <vt:variant>
        <vt:i4>3</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cp:lastModifiedBy>x4</cp:lastModifiedBy>
  <cp:revision>6</cp:revision>
  <cp:lastPrinted>2008-01-10T11:42:00Z</cp:lastPrinted>
  <dcterms:created xsi:type="dcterms:W3CDTF">2011-07-04T11:45:00Z</dcterms:created>
  <dcterms:modified xsi:type="dcterms:W3CDTF">2011-07-05T12:27:00Z</dcterms:modified>
</cp:coreProperties>
</file>